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77BBE" w14:textId="77777777" w:rsidR="00D04F94" w:rsidRPr="00C225BE" w:rsidRDefault="00CF01FE" w:rsidP="00E870E1">
      <w:pPr>
        <w:jc w:val="center"/>
        <w:rPr>
          <w:rFonts w:asciiTheme="minorHAnsi" w:hAnsiTheme="minorHAnsi"/>
          <w:sz w:val="24"/>
          <w:szCs w:val="24"/>
        </w:rPr>
      </w:pPr>
      <w:r w:rsidRPr="00C225BE">
        <w:rPr>
          <w:rFonts w:asciiTheme="minorHAnsi" w:hAnsiTheme="minorHAnsi"/>
          <w:sz w:val="24"/>
          <w:szCs w:val="24"/>
        </w:rPr>
        <w:t>END OF PROJECT REPORT</w:t>
      </w:r>
    </w:p>
    <w:p w14:paraId="27F2F01B" w14:textId="77777777" w:rsidR="00D04F94" w:rsidRPr="00C225BE" w:rsidRDefault="00D04F94" w:rsidP="00E870E1">
      <w:pPr>
        <w:jc w:val="center"/>
        <w:rPr>
          <w:rFonts w:asciiTheme="minorHAnsi" w:hAnsiTheme="minorHAnsi"/>
          <w:sz w:val="24"/>
          <w:szCs w:val="24"/>
        </w:rPr>
      </w:pPr>
    </w:p>
    <w:p w14:paraId="2DF20B9C" w14:textId="77777777" w:rsidR="00E870E1" w:rsidRPr="00C225BE" w:rsidRDefault="00E870E1" w:rsidP="00E870E1">
      <w:pPr>
        <w:jc w:val="center"/>
        <w:rPr>
          <w:rFonts w:asciiTheme="minorHAnsi" w:hAnsiTheme="minorHAnsi"/>
          <w:sz w:val="24"/>
          <w:szCs w:val="24"/>
        </w:rPr>
      </w:pPr>
    </w:p>
    <w:p w14:paraId="39B4244F" w14:textId="77777777" w:rsidR="00E870E1" w:rsidRPr="00C225BE" w:rsidRDefault="00E870E1" w:rsidP="00E870E1">
      <w:pPr>
        <w:jc w:val="center"/>
        <w:rPr>
          <w:rFonts w:asciiTheme="minorHAnsi" w:hAnsiTheme="minorHAnsi"/>
          <w:sz w:val="24"/>
          <w:szCs w:val="24"/>
        </w:rPr>
      </w:pPr>
    </w:p>
    <w:p w14:paraId="4EE1ACDC" w14:textId="77777777" w:rsidR="00E870E1" w:rsidRPr="00C225BE" w:rsidRDefault="00E870E1" w:rsidP="00E870E1">
      <w:pPr>
        <w:jc w:val="center"/>
        <w:rPr>
          <w:rFonts w:asciiTheme="minorHAnsi" w:hAnsiTheme="minorHAnsi"/>
          <w:sz w:val="24"/>
          <w:szCs w:val="24"/>
        </w:rPr>
      </w:pPr>
    </w:p>
    <w:p w14:paraId="42B15CAC" w14:textId="77777777" w:rsidR="00D04F94" w:rsidRPr="00C225BE" w:rsidRDefault="00D04F94" w:rsidP="00E870E1">
      <w:pPr>
        <w:jc w:val="center"/>
        <w:rPr>
          <w:rFonts w:asciiTheme="minorHAnsi" w:hAnsiTheme="minorHAnsi"/>
          <w:sz w:val="24"/>
          <w:szCs w:val="24"/>
        </w:rPr>
      </w:pPr>
    </w:p>
    <w:p w14:paraId="293D09C7" w14:textId="77777777" w:rsidR="00D04F94" w:rsidRPr="00C225BE" w:rsidRDefault="00000000" w:rsidP="00E870E1">
      <w:pPr>
        <w:jc w:val="center"/>
        <w:rPr>
          <w:rFonts w:asciiTheme="minorHAnsi" w:hAnsiTheme="minorHAnsi"/>
          <w:sz w:val="24"/>
          <w:szCs w:val="24"/>
        </w:rPr>
      </w:pPr>
      <w:r w:rsidRPr="00C225BE">
        <w:rPr>
          <w:rFonts w:asciiTheme="minorHAnsi" w:hAnsiTheme="minorHAnsi"/>
          <w:sz w:val="24"/>
          <w:szCs w:val="24"/>
        </w:rPr>
        <w:t>Social Participation for Health: Engagement, Research and Empowerment (SPHERE)</w:t>
      </w:r>
    </w:p>
    <w:p w14:paraId="25ACE239" w14:textId="77777777" w:rsidR="00D04F94" w:rsidRPr="00C225BE" w:rsidRDefault="00D04F94">
      <w:pPr>
        <w:rPr>
          <w:rFonts w:asciiTheme="minorHAnsi" w:hAnsiTheme="minorHAnsi"/>
          <w:sz w:val="24"/>
          <w:szCs w:val="24"/>
        </w:rPr>
      </w:pPr>
    </w:p>
    <w:p w14:paraId="746F70C2" w14:textId="77777777" w:rsidR="00D04F94" w:rsidRPr="00C225BE" w:rsidRDefault="00D04F94">
      <w:pPr>
        <w:rPr>
          <w:rFonts w:asciiTheme="minorHAnsi" w:hAnsiTheme="minorHAnsi"/>
          <w:sz w:val="24"/>
          <w:szCs w:val="24"/>
        </w:rPr>
      </w:pPr>
    </w:p>
    <w:p w14:paraId="7245AA53" w14:textId="77777777" w:rsidR="00D04F94" w:rsidRPr="00C225BE" w:rsidRDefault="00D04F94">
      <w:pPr>
        <w:rPr>
          <w:rFonts w:asciiTheme="minorHAnsi" w:hAnsiTheme="minorHAnsi"/>
          <w:sz w:val="24"/>
          <w:szCs w:val="24"/>
        </w:rPr>
      </w:pPr>
    </w:p>
    <w:p w14:paraId="75A42910" w14:textId="77777777" w:rsidR="00D04F94" w:rsidRPr="00C225BE" w:rsidRDefault="00D04F94">
      <w:pPr>
        <w:rPr>
          <w:rFonts w:asciiTheme="minorHAnsi" w:hAnsiTheme="minorHAnsi"/>
          <w:sz w:val="24"/>
          <w:szCs w:val="24"/>
        </w:rPr>
      </w:pPr>
    </w:p>
    <w:p w14:paraId="35C82ED8" w14:textId="77777777" w:rsidR="00D04F94" w:rsidRPr="00C225BE" w:rsidRDefault="00D04F94">
      <w:pPr>
        <w:rPr>
          <w:rFonts w:asciiTheme="minorHAnsi" w:hAnsiTheme="minorHAnsi"/>
          <w:sz w:val="24"/>
          <w:szCs w:val="24"/>
        </w:rPr>
      </w:pPr>
    </w:p>
    <w:p w14:paraId="5BB9DAD3" w14:textId="77777777" w:rsidR="00D04F94" w:rsidRPr="00C225BE" w:rsidRDefault="00D04F94">
      <w:pPr>
        <w:rPr>
          <w:rFonts w:asciiTheme="minorHAnsi" w:hAnsiTheme="minorHAnsi"/>
          <w:sz w:val="24"/>
          <w:szCs w:val="24"/>
        </w:rPr>
      </w:pPr>
    </w:p>
    <w:p w14:paraId="040CC000" w14:textId="77777777" w:rsidR="00D04F94" w:rsidRPr="00C225BE" w:rsidRDefault="00D04F94">
      <w:pPr>
        <w:rPr>
          <w:rFonts w:asciiTheme="minorHAnsi" w:hAnsiTheme="minorHAnsi"/>
          <w:sz w:val="24"/>
          <w:szCs w:val="24"/>
        </w:rPr>
      </w:pPr>
    </w:p>
    <w:p w14:paraId="782E7053" w14:textId="77777777" w:rsidR="00D04F94" w:rsidRPr="00C225BE" w:rsidRDefault="00D04F94">
      <w:pPr>
        <w:rPr>
          <w:rFonts w:asciiTheme="minorHAnsi" w:hAnsiTheme="minorHAnsi"/>
          <w:sz w:val="24"/>
          <w:szCs w:val="24"/>
        </w:rPr>
      </w:pPr>
    </w:p>
    <w:p w14:paraId="2898266D" w14:textId="77777777" w:rsidR="00D04F94" w:rsidRPr="00C225BE" w:rsidRDefault="00D04F94">
      <w:pPr>
        <w:rPr>
          <w:rFonts w:asciiTheme="minorHAnsi" w:hAnsiTheme="minorHAnsi"/>
          <w:sz w:val="24"/>
          <w:szCs w:val="24"/>
        </w:rPr>
      </w:pPr>
    </w:p>
    <w:p w14:paraId="7006EA41" w14:textId="77777777" w:rsidR="00D04F94" w:rsidRPr="00C225BE" w:rsidRDefault="00000000" w:rsidP="00E870E1">
      <w:pPr>
        <w:jc w:val="center"/>
        <w:rPr>
          <w:rFonts w:asciiTheme="minorHAnsi" w:hAnsiTheme="minorHAnsi"/>
          <w:sz w:val="24"/>
          <w:szCs w:val="24"/>
        </w:rPr>
      </w:pPr>
      <w:r w:rsidRPr="00C225BE">
        <w:rPr>
          <w:rFonts w:asciiTheme="minorHAnsi" w:hAnsiTheme="minorHAnsi"/>
          <w:sz w:val="24"/>
          <w:szCs w:val="24"/>
        </w:rPr>
        <w:t>IMPLEMENTED BY: HEALTH NGO NETWORK</w:t>
      </w:r>
      <w:r w:rsidR="00CF01FE" w:rsidRPr="00C225BE">
        <w:rPr>
          <w:rFonts w:asciiTheme="minorHAnsi" w:hAnsiTheme="minorHAnsi"/>
          <w:sz w:val="24"/>
          <w:szCs w:val="24"/>
        </w:rPr>
        <w:t xml:space="preserve"> (HENNET)</w:t>
      </w:r>
    </w:p>
    <w:p w14:paraId="5455A477" w14:textId="77777777" w:rsidR="00D04F94" w:rsidRPr="00C225BE" w:rsidRDefault="00D04F94">
      <w:pPr>
        <w:jc w:val="center"/>
        <w:rPr>
          <w:rFonts w:asciiTheme="minorHAnsi" w:hAnsiTheme="minorHAnsi"/>
          <w:sz w:val="24"/>
          <w:szCs w:val="24"/>
        </w:rPr>
      </w:pPr>
    </w:p>
    <w:p w14:paraId="749355F3" w14:textId="77777777" w:rsidR="00D04F94" w:rsidRPr="00C225BE" w:rsidRDefault="00D04F94">
      <w:pPr>
        <w:jc w:val="center"/>
        <w:rPr>
          <w:rFonts w:asciiTheme="minorHAnsi" w:hAnsiTheme="minorHAnsi"/>
          <w:sz w:val="24"/>
          <w:szCs w:val="24"/>
        </w:rPr>
      </w:pPr>
    </w:p>
    <w:p w14:paraId="53553A9F" w14:textId="77777777" w:rsidR="00D04F94" w:rsidRPr="00C225BE" w:rsidRDefault="00D04F94">
      <w:pPr>
        <w:jc w:val="center"/>
        <w:rPr>
          <w:rFonts w:asciiTheme="minorHAnsi" w:hAnsiTheme="minorHAnsi"/>
          <w:sz w:val="24"/>
          <w:szCs w:val="24"/>
        </w:rPr>
      </w:pPr>
    </w:p>
    <w:p w14:paraId="07B6BC9B" w14:textId="77777777" w:rsidR="00D04F94" w:rsidRPr="00C225BE" w:rsidRDefault="00000000">
      <w:pPr>
        <w:jc w:val="center"/>
        <w:rPr>
          <w:rFonts w:asciiTheme="minorHAnsi" w:hAnsiTheme="minorHAnsi"/>
          <w:sz w:val="24"/>
          <w:szCs w:val="24"/>
        </w:rPr>
      </w:pPr>
      <w:r w:rsidRPr="00C225BE">
        <w:rPr>
          <w:rFonts w:asciiTheme="minorHAnsi" w:hAnsiTheme="minorHAnsi"/>
          <w:sz w:val="24"/>
          <w:szCs w:val="24"/>
        </w:rPr>
        <w:t>SUBMITTED TO MSH</w:t>
      </w:r>
    </w:p>
    <w:p w14:paraId="086E4DCB" w14:textId="77777777" w:rsidR="00D04F94" w:rsidRPr="00C225BE" w:rsidRDefault="00D04F94">
      <w:pPr>
        <w:jc w:val="center"/>
        <w:rPr>
          <w:rFonts w:asciiTheme="minorHAnsi" w:hAnsiTheme="minorHAnsi"/>
          <w:sz w:val="24"/>
          <w:szCs w:val="24"/>
        </w:rPr>
      </w:pPr>
    </w:p>
    <w:p w14:paraId="0AAB232A" w14:textId="77777777" w:rsidR="00D04F94" w:rsidRPr="00C225BE" w:rsidRDefault="00D04F94">
      <w:pPr>
        <w:jc w:val="center"/>
        <w:rPr>
          <w:rFonts w:asciiTheme="minorHAnsi" w:hAnsiTheme="minorHAnsi"/>
          <w:sz w:val="24"/>
          <w:szCs w:val="24"/>
        </w:rPr>
      </w:pPr>
    </w:p>
    <w:p w14:paraId="6270C17F" w14:textId="77777777" w:rsidR="00D04F94" w:rsidRPr="00C225BE" w:rsidRDefault="00000000">
      <w:pPr>
        <w:jc w:val="center"/>
        <w:rPr>
          <w:rFonts w:asciiTheme="minorHAnsi" w:hAnsiTheme="minorHAnsi"/>
          <w:sz w:val="24"/>
          <w:szCs w:val="24"/>
        </w:rPr>
      </w:pPr>
      <w:r w:rsidRPr="00C225BE">
        <w:rPr>
          <w:rFonts w:asciiTheme="minorHAnsi" w:hAnsiTheme="minorHAnsi"/>
          <w:sz w:val="24"/>
          <w:szCs w:val="24"/>
        </w:rPr>
        <w:t>DEC 2025</w:t>
      </w:r>
    </w:p>
    <w:p w14:paraId="1ABC0AAB" w14:textId="77777777" w:rsidR="00D04F94" w:rsidRPr="00C225BE" w:rsidRDefault="00000000" w:rsidP="00D2189C">
      <w:pPr>
        <w:pStyle w:val="Heading1"/>
        <w:rPr>
          <w:rFonts w:asciiTheme="minorHAnsi" w:hAnsiTheme="minorHAnsi"/>
          <w:sz w:val="24"/>
          <w:szCs w:val="24"/>
        </w:rPr>
      </w:pPr>
      <w:bookmarkStart w:id="0" w:name="_Toc215947136"/>
      <w:r w:rsidRPr="00C225BE">
        <w:rPr>
          <w:rFonts w:asciiTheme="minorHAnsi" w:hAnsiTheme="minorHAnsi"/>
          <w:sz w:val="24"/>
          <w:szCs w:val="24"/>
        </w:rPr>
        <w:lastRenderedPageBreak/>
        <w:t>2. Table of Contents</w:t>
      </w:r>
      <w:bookmarkEnd w:id="0"/>
    </w:p>
    <w:p w14:paraId="3AF1FA51" w14:textId="77777777" w:rsidR="00E97D7A" w:rsidRPr="00C225BE" w:rsidRDefault="007307B8">
      <w:pPr>
        <w:pStyle w:val="TOC1"/>
        <w:tabs>
          <w:tab w:val="right" w:leader="dot" w:pos="8630"/>
        </w:tabs>
        <w:rPr>
          <w:rFonts w:asciiTheme="minorHAnsi" w:eastAsiaTheme="minorEastAsia" w:hAnsiTheme="minorHAnsi" w:cstheme="minorBidi"/>
          <w:noProof/>
          <w:kern w:val="2"/>
          <w:sz w:val="24"/>
          <w:szCs w:val="24"/>
          <w:lang/>
          <w14:ligatures w14:val="standardContextual"/>
        </w:rPr>
      </w:pPr>
      <w:r w:rsidRPr="00C225BE">
        <w:rPr>
          <w:rFonts w:asciiTheme="minorHAnsi" w:hAnsiTheme="minorHAnsi"/>
          <w:sz w:val="24"/>
          <w:szCs w:val="24"/>
        </w:rPr>
        <w:fldChar w:fldCharType="begin"/>
      </w:r>
      <w:r w:rsidRPr="00C225BE">
        <w:rPr>
          <w:rFonts w:asciiTheme="minorHAnsi" w:hAnsiTheme="minorHAnsi"/>
          <w:sz w:val="24"/>
          <w:szCs w:val="24"/>
        </w:rPr>
        <w:instrText xml:space="preserve"> TOC \o "1-3" \h \z \u </w:instrText>
      </w:r>
      <w:r w:rsidRPr="00C225BE">
        <w:rPr>
          <w:rFonts w:asciiTheme="minorHAnsi" w:hAnsiTheme="minorHAnsi"/>
          <w:sz w:val="24"/>
          <w:szCs w:val="24"/>
        </w:rPr>
        <w:fldChar w:fldCharType="separate"/>
      </w:r>
      <w:hyperlink w:anchor="_Toc215947136" w:history="1">
        <w:r w:rsidR="00E97D7A" w:rsidRPr="00C225BE">
          <w:rPr>
            <w:rStyle w:val="Hyperlink"/>
            <w:rFonts w:asciiTheme="minorHAnsi" w:hAnsiTheme="minorHAnsi"/>
            <w:noProof/>
            <w:sz w:val="24"/>
            <w:szCs w:val="24"/>
          </w:rPr>
          <w:t>2. Table of Contents</w:t>
        </w:r>
        <w:r w:rsidR="00E97D7A" w:rsidRPr="00C225BE">
          <w:rPr>
            <w:rFonts w:asciiTheme="minorHAnsi" w:hAnsiTheme="minorHAnsi"/>
            <w:noProof/>
            <w:webHidden/>
            <w:sz w:val="24"/>
            <w:szCs w:val="24"/>
          </w:rPr>
          <w:tab/>
        </w:r>
        <w:r w:rsidR="00E97D7A" w:rsidRPr="00C225BE">
          <w:rPr>
            <w:rFonts w:asciiTheme="minorHAnsi" w:hAnsiTheme="minorHAnsi"/>
            <w:noProof/>
            <w:webHidden/>
            <w:sz w:val="24"/>
            <w:szCs w:val="24"/>
          </w:rPr>
          <w:fldChar w:fldCharType="begin"/>
        </w:r>
        <w:r w:rsidR="00E97D7A" w:rsidRPr="00C225BE">
          <w:rPr>
            <w:rFonts w:asciiTheme="minorHAnsi" w:hAnsiTheme="minorHAnsi"/>
            <w:noProof/>
            <w:webHidden/>
            <w:sz w:val="24"/>
            <w:szCs w:val="24"/>
          </w:rPr>
          <w:instrText xml:space="preserve"> PAGEREF _Toc215947136 \h </w:instrText>
        </w:r>
        <w:r w:rsidR="00E97D7A" w:rsidRPr="00C225BE">
          <w:rPr>
            <w:rFonts w:asciiTheme="minorHAnsi" w:hAnsiTheme="minorHAnsi"/>
            <w:noProof/>
            <w:webHidden/>
            <w:sz w:val="24"/>
            <w:szCs w:val="24"/>
          </w:rPr>
        </w:r>
        <w:r w:rsidR="00E97D7A" w:rsidRPr="00C225BE">
          <w:rPr>
            <w:rFonts w:asciiTheme="minorHAnsi" w:hAnsiTheme="minorHAnsi"/>
            <w:noProof/>
            <w:webHidden/>
            <w:sz w:val="24"/>
            <w:szCs w:val="24"/>
          </w:rPr>
          <w:fldChar w:fldCharType="separate"/>
        </w:r>
        <w:r w:rsidR="00E97D7A" w:rsidRPr="00C225BE">
          <w:rPr>
            <w:rFonts w:asciiTheme="minorHAnsi" w:hAnsiTheme="minorHAnsi"/>
            <w:noProof/>
            <w:webHidden/>
            <w:sz w:val="24"/>
            <w:szCs w:val="24"/>
          </w:rPr>
          <w:t>2</w:t>
        </w:r>
        <w:r w:rsidR="00E97D7A" w:rsidRPr="00C225BE">
          <w:rPr>
            <w:rFonts w:asciiTheme="minorHAnsi" w:hAnsiTheme="minorHAnsi"/>
            <w:noProof/>
            <w:webHidden/>
            <w:sz w:val="24"/>
            <w:szCs w:val="24"/>
          </w:rPr>
          <w:fldChar w:fldCharType="end"/>
        </w:r>
      </w:hyperlink>
    </w:p>
    <w:p w14:paraId="701CD81B"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37" w:history="1">
        <w:r w:rsidRPr="00C225BE">
          <w:rPr>
            <w:rStyle w:val="Hyperlink"/>
            <w:rFonts w:asciiTheme="minorHAnsi" w:hAnsiTheme="minorHAnsi"/>
            <w:noProof/>
            <w:sz w:val="24"/>
            <w:szCs w:val="24"/>
          </w:rPr>
          <w:t>3. Acronyms and Abbreviations</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_Toc215947137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3</w:t>
        </w:r>
        <w:r w:rsidRPr="00C225BE">
          <w:rPr>
            <w:rFonts w:asciiTheme="minorHAnsi" w:hAnsiTheme="minorHAnsi"/>
            <w:noProof/>
            <w:webHidden/>
            <w:sz w:val="24"/>
            <w:szCs w:val="24"/>
          </w:rPr>
          <w:fldChar w:fldCharType="end"/>
        </w:r>
      </w:hyperlink>
    </w:p>
    <w:p w14:paraId="1D9B661E"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38" w:history="1">
        <w:r w:rsidRPr="00C225BE">
          <w:rPr>
            <w:rStyle w:val="Hyperlink"/>
            <w:rFonts w:asciiTheme="minorHAnsi" w:hAnsiTheme="minorHAnsi"/>
            <w:noProof/>
            <w:sz w:val="24"/>
            <w:szCs w:val="24"/>
          </w:rPr>
          <w:t>4. Executive Summary</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_Toc215947138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4</w:t>
        </w:r>
        <w:r w:rsidRPr="00C225BE">
          <w:rPr>
            <w:rFonts w:asciiTheme="minorHAnsi" w:hAnsiTheme="minorHAnsi"/>
            <w:noProof/>
            <w:webHidden/>
            <w:sz w:val="24"/>
            <w:szCs w:val="24"/>
          </w:rPr>
          <w:fldChar w:fldCharType="end"/>
        </w:r>
      </w:hyperlink>
    </w:p>
    <w:p w14:paraId="6DA94C5C"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39" w:history="1">
        <w:r w:rsidRPr="00C225BE">
          <w:rPr>
            <w:rStyle w:val="Hyperlink"/>
            <w:rFonts w:asciiTheme="minorHAnsi" w:hAnsiTheme="minorHAnsi"/>
            <w:noProof/>
            <w:sz w:val="24"/>
            <w:szCs w:val="24"/>
          </w:rPr>
          <w:t>5. Project Overview</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_Toc215947139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7</w:t>
        </w:r>
        <w:r w:rsidRPr="00C225BE">
          <w:rPr>
            <w:rFonts w:asciiTheme="minorHAnsi" w:hAnsiTheme="minorHAnsi"/>
            <w:noProof/>
            <w:webHidden/>
            <w:sz w:val="24"/>
            <w:szCs w:val="24"/>
          </w:rPr>
          <w:fldChar w:fldCharType="end"/>
        </w:r>
      </w:hyperlink>
    </w:p>
    <w:p w14:paraId="12E35FDC" w14:textId="77777777" w:rsidR="00E97D7A" w:rsidRPr="00C225BE" w:rsidRDefault="00E97D7A">
      <w:pPr>
        <w:pStyle w:val="TOC2"/>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0" w:history="1">
        <w:r w:rsidRPr="00C225BE">
          <w:rPr>
            <w:rStyle w:val="Hyperlink"/>
            <w:rFonts w:asciiTheme="minorHAnsi" w:hAnsiTheme="minorHAnsi"/>
            <w:noProof/>
            <w:sz w:val="24"/>
            <w:szCs w:val="24"/>
          </w:rPr>
          <w:t>5.1 Background</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_Toc215947140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7</w:t>
        </w:r>
        <w:r w:rsidRPr="00C225BE">
          <w:rPr>
            <w:rFonts w:asciiTheme="minorHAnsi" w:hAnsiTheme="minorHAnsi"/>
            <w:noProof/>
            <w:webHidden/>
            <w:sz w:val="24"/>
            <w:szCs w:val="24"/>
          </w:rPr>
          <w:fldChar w:fldCharType="end"/>
        </w:r>
      </w:hyperlink>
    </w:p>
    <w:p w14:paraId="37E126E8" w14:textId="77777777" w:rsidR="00E97D7A" w:rsidRPr="00C225BE" w:rsidRDefault="00E97D7A">
      <w:pPr>
        <w:pStyle w:val="TOC2"/>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1" w:history="1">
        <w:r w:rsidRPr="00C225BE">
          <w:rPr>
            <w:rStyle w:val="Hyperlink"/>
            <w:rFonts w:asciiTheme="minorHAnsi" w:hAnsiTheme="minorHAnsi"/>
            <w:noProof/>
            <w:sz w:val="24"/>
            <w:szCs w:val="24"/>
          </w:rPr>
          <w:t>5.2 Project Goal and Objectives</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_Toc215947141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9</w:t>
        </w:r>
        <w:r w:rsidRPr="00C225BE">
          <w:rPr>
            <w:rFonts w:asciiTheme="minorHAnsi" w:hAnsiTheme="minorHAnsi"/>
            <w:noProof/>
            <w:webHidden/>
            <w:sz w:val="24"/>
            <w:szCs w:val="24"/>
          </w:rPr>
          <w:fldChar w:fldCharType="end"/>
        </w:r>
      </w:hyperlink>
    </w:p>
    <w:p w14:paraId="539E5DA9"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2" w:history="1">
        <w:r w:rsidRPr="00C225BE">
          <w:rPr>
            <w:rStyle w:val="Hyperlink"/>
            <w:rFonts w:asciiTheme="minorHAnsi" w:hAnsiTheme="minorHAnsi"/>
            <w:noProof/>
            <w:sz w:val="24"/>
            <w:szCs w:val="24"/>
          </w:rPr>
          <w:t>Project Goal</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_Toc215947142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9</w:t>
        </w:r>
        <w:r w:rsidRPr="00C225BE">
          <w:rPr>
            <w:rFonts w:asciiTheme="minorHAnsi" w:hAnsiTheme="minorHAnsi"/>
            <w:noProof/>
            <w:webHidden/>
            <w:sz w:val="24"/>
            <w:szCs w:val="24"/>
          </w:rPr>
          <w:fldChar w:fldCharType="end"/>
        </w:r>
      </w:hyperlink>
    </w:p>
    <w:p w14:paraId="7D7BEBE4" w14:textId="77777777" w:rsidR="00E97D7A" w:rsidRPr="00C225BE" w:rsidRDefault="00E97D7A">
      <w:pPr>
        <w:pStyle w:val="TOC2"/>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3" w:history="1">
        <w:r w:rsidRPr="00C225BE">
          <w:rPr>
            <w:rStyle w:val="Hyperlink"/>
            <w:rFonts w:asciiTheme="minorHAnsi" w:hAnsiTheme="minorHAnsi"/>
            <w:noProof/>
            <w:sz w:val="24"/>
            <w:szCs w:val="24"/>
          </w:rPr>
          <w:t>5.3 Contractual Framework</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_Toc215947143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10</w:t>
        </w:r>
        <w:r w:rsidRPr="00C225BE">
          <w:rPr>
            <w:rFonts w:asciiTheme="minorHAnsi" w:hAnsiTheme="minorHAnsi"/>
            <w:noProof/>
            <w:webHidden/>
            <w:sz w:val="24"/>
            <w:szCs w:val="24"/>
          </w:rPr>
          <w:fldChar w:fldCharType="end"/>
        </w:r>
      </w:hyperlink>
    </w:p>
    <w:p w14:paraId="16157F52"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4" w:history="1">
        <w:r w:rsidRPr="00C225BE">
          <w:rPr>
            <w:rStyle w:val="Hyperlink"/>
            <w:rFonts w:asciiTheme="minorHAnsi" w:hAnsiTheme="minorHAnsi"/>
            <w:noProof/>
            <w:sz w:val="24"/>
            <w:szCs w:val="24"/>
          </w:rPr>
          <w:t>6. Implementation Approach</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_Toc215947144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12</w:t>
        </w:r>
        <w:r w:rsidRPr="00C225BE">
          <w:rPr>
            <w:rFonts w:asciiTheme="minorHAnsi" w:hAnsiTheme="minorHAnsi"/>
            <w:noProof/>
            <w:webHidden/>
            <w:sz w:val="24"/>
            <w:szCs w:val="24"/>
          </w:rPr>
          <w:fldChar w:fldCharType="end"/>
        </w:r>
      </w:hyperlink>
    </w:p>
    <w:p w14:paraId="51C21912" w14:textId="77777777" w:rsidR="00E97D7A" w:rsidRPr="00C225BE" w:rsidRDefault="00E97D7A">
      <w:pPr>
        <w:pStyle w:val="TOC2"/>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5" w:history="1">
        <w:r w:rsidRPr="00C225BE">
          <w:rPr>
            <w:rStyle w:val="Hyperlink"/>
            <w:rFonts w:asciiTheme="minorHAnsi" w:hAnsiTheme="minorHAnsi"/>
            <w:noProof/>
            <w:sz w:val="24"/>
            <w:szCs w:val="24"/>
          </w:rPr>
          <w:t>6.1 Theory of Change</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_Toc215947145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12</w:t>
        </w:r>
        <w:r w:rsidRPr="00C225BE">
          <w:rPr>
            <w:rFonts w:asciiTheme="minorHAnsi" w:hAnsiTheme="minorHAnsi"/>
            <w:noProof/>
            <w:webHidden/>
            <w:sz w:val="24"/>
            <w:szCs w:val="24"/>
          </w:rPr>
          <w:fldChar w:fldCharType="end"/>
        </w:r>
      </w:hyperlink>
    </w:p>
    <w:p w14:paraId="1E48AECB" w14:textId="77777777" w:rsidR="00E97D7A" w:rsidRPr="00C225BE" w:rsidRDefault="00E97D7A">
      <w:pPr>
        <w:pStyle w:val="TOC2"/>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6" w:history="1">
        <w:r w:rsidRPr="00C225BE">
          <w:rPr>
            <w:rStyle w:val="Hyperlink"/>
            <w:rFonts w:asciiTheme="minorHAnsi" w:hAnsiTheme="minorHAnsi"/>
            <w:noProof/>
            <w:sz w:val="24"/>
            <w:szCs w:val="24"/>
          </w:rPr>
          <w:t>6.2 Methodology</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_Toc215947146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15</w:t>
        </w:r>
        <w:r w:rsidRPr="00C225BE">
          <w:rPr>
            <w:rFonts w:asciiTheme="minorHAnsi" w:hAnsiTheme="minorHAnsi"/>
            <w:noProof/>
            <w:webHidden/>
            <w:sz w:val="24"/>
            <w:szCs w:val="24"/>
          </w:rPr>
          <w:fldChar w:fldCharType="end"/>
        </w:r>
      </w:hyperlink>
    </w:p>
    <w:p w14:paraId="656660C2"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7" w:history="1">
        <w:r w:rsidRPr="00C225BE">
          <w:rPr>
            <w:rStyle w:val="Hyperlink"/>
            <w:rFonts w:asciiTheme="minorHAnsi" w:hAnsiTheme="minorHAnsi"/>
            <w:noProof/>
            <w:sz w:val="24"/>
            <w:szCs w:val="24"/>
          </w:rPr>
          <w:t>1. Research and Evidence Generation</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_Toc215947147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15</w:t>
        </w:r>
        <w:r w:rsidRPr="00C225BE">
          <w:rPr>
            <w:rFonts w:asciiTheme="minorHAnsi" w:hAnsiTheme="minorHAnsi"/>
            <w:noProof/>
            <w:webHidden/>
            <w:sz w:val="24"/>
            <w:szCs w:val="24"/>
          </w:rPr>
          <w:fldChar w:fldCharType="end"/>
        </w:r>
      </w:hyperlink>
    </w:p>
    <w:p w14:paraId="239AE977"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8" w:history="1">
        <w:r w:rsidRPr="00C225BE">
          <w:rPr>
            <w:rStyle w:val="Hyperlink"/>
            <w:rFonts w:asciiTheme="minorHAnsi" w:hAnsiTheme="minorHAnsi"/>
            <w:noProof/>
            <w:sz w:val="24"/>
            <w:szCs w:val="24"/>
          </w:rPr>
          <w:t>2. Participatory Design and Co-Creation of Advocacy Tools</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_Toc215947148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15</w:t>
        </w:r>
        <w:r w:rsidRPr="00C225BE">
          <w:rPr>
            <w:rFonts w:asciiTheme="minorHAnsi" w:hAnsiTheme="minorHAnsi"/>
            <w:noProof/>
            <w:webHidden/>
            <w:sz w:val="24"/>
            <w:szCs w:val="24"/>
          </w:rPr>
          <w:fldChar w:fldCharType="end"/>
        </w:r>
      </w:hyperlink>
    </w:p>
    <w:p w14:paraId="08FB3ECB"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49" w:history="1">
        <w:r w:rsidRPr="00C225BE">
          <w:rPr>
            <w:rStyle w:val="Hyperlink"/>
            <w:rFonts w:asciiTheme="minorHAnsi" w:hAnsiTheme="minorHAnsi"/>
            <w:noProof/>
            <w:sz w:val="24"/>
            <w:szCs w:val="24"/>
          </w:rPr>
          <w:t>3. Capacity Strengthening Through a Multi-Tiered Training Model</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_Toc215947149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15</w:t>
        </w:r>
        <w:r w:rsidRPr="00C225BE">
          <w:rPr>
            <w:rFonts w:asciiTheme="minorHAnsi" w:hAnsiTheme="minorHAnsi"/>
            <w:noProof/>
            <w:webHidden/>
            <w:sz w:val="24"/>
            <w:szCs w:val="24"/>
          </w:rPr>
          <w:fldChar w:fldCharType="end"/>
        </w:r>
      </w:hyperlink>
    </w:p>
    <w:p w14:paraId="29A4ACF1"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0" w:history="1">
        <w:r w:rsidRPr="00C225BE">
          <w:rPr>
            <w:rStyle w:val="Hyperlink"/>
            <w:rFonts w:asciiTheme="minorHAnsi" w:hAnsiTheme="minorHAnsi"/>
            <w:noProof/>
            <w:sz w:val="24"/>
            <w:szCs w:val="24"/>
          </w:rPr>
          <w:t>4. Advocacy Implementation and Policy Engagement</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_Toc215947150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16</w:t>
        </w:r>
        <w:r w:rsidRPr="00C225BE">
          <w:rPr>
            <w:rFonts w:asciiTheme="minorHAnsi" w:hAnsiTheme="minorHAnsi"/>
            <w:noProof/>
            <w:webHidden/>
            <w:sz w:val="24"/>
            <w:szCs w:val="24"/>
          </w:rPr>
          <w:fldChar w:fldCharType="end"/>
        </w:r>
      </w:hyperlink>
    </w:p>
    <w:p w14:paraId="2D8B600F"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1" w:history="1">
        <w:r w:rsidRPr="00C225BE">
          <w:rPr>
            <w:rStyle w:val="Hyperlink"/>
            <w:rFonts w:asciiTheme="minorHAnsi" w:hAnsiTheme="minorHAnsi"/>
            <w:noProof/>
            <w:sz w:val="24"/>
            <w:szCs w:val="24"/>
          </w:rPr>
          <w:t>5. Monitoring, Learning, and Adaptation</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_Toc215947151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16</w:t>
        </w:r>
        <w:r w:rsidRPr="00C225BE">
          <w:rPr>
            <w:rFonts w:asciiTheme="minorHAnsi" w:hAnsiTheme="minorHAnsi"/>
            <w:noProof/>
            <w:webHidden/>
            <w:sz w:val="24"/>
            <w:szCs w:val="24"/>
          </w:rPr>
          <w:fldChar w:fldCharType="end"/>
        </w:r>
      </w:hyperlink>
    </w:p>
    <w:p w14:paraId="56F0F65D"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2" w:history="1">
        <w:r w:rsidRPr="00C225BE">
          <w:rPr>
            <w:rStyle w:val="Hyperlink"/>
            <w:rFonts w:asciiTheme="minorHAnsi" w:hAnsiTheme="minorHAnsi"/>
            <w:noProof/>
            <w:sz w:val="24"/>
            <w:szCs w:val="24"/>
          </w:rPr>
          <w:t>6. Evaluation and National-Level Learning Dissemination</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_Toc215947152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16</w:t>
        </w:r>
        <w:r w:rsidRPr="00C225BE">
          <w:rPr>
            <w:rFonts w:asciiTheme="minorHAnsi" w:hAnsiTheme="minorHAnsi"/>
            <w:noProof/>
            <w:webHidden/>
            <w:sz w:val="24"/>
            <w:szCs w:val="24"/>
          </w:rPr>
          <w:fldChar w:fldCharType="end"/>
        </w:r>
      </w:hyperlink>
    </w:p>
    <w:p w14:paraId="75284298"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3" w:history="1">
        <w:r w:rsidRPr="00C225BE">
          <w:rPr>
            <w:rStyle w:val="Hyperlink"/>
            <w:rFonts w:asciiTheme="minorHAnsi" w:hAnsiTheme="minorHAnsi"/>
            <w:noProof/>
            <w:sz w:val="24"/>
            <w:szCs w:val="24"/>
          </w:rPr>
          <w:t>7. Key Results and Achievements</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_Toc215947153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17</w:t>
        </w:r>
        <w:r w:rsidRPr="00C225BE">
          <w:rPr>
            <w:rFonts w:asciiTheme="minorHAnsi" w:hAnsiTheme="minorHAnsi"/>
            <w:noProof/>
            <w:webHidden/>
            <w:sz w:val="24"/>
            <w:szCs w:val="24"/>
          </w:rPr>
          <w:fldChar w:fldCharType="end"/>
        </w:r>
      </w:hyperlink>
    </w:p>
    <w:p w14:paraId="248FC83E" w14:textId="77777777" w:rsidR="00E97D7A" w:rsidRPr="00C225BE" w:rsidRDefault="00E97D7A">
      <w:pPr>
        <w:pStyle w:val="TOC2"/>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4" w:history="1">
        <w:r w:rsidRPr="00C225BE">
          <w:rPr>
            <w:rStyle w:val="Hyperlink"/>
            <w:rFonts w:asciiTheme="minorHAnsi" w:hAnsiTheme="minorHAnsi"/>
            <w:noProof/>
            <w:sz w:val="24"/>
            <w:szCs w:val="24"/>
          </w:rPr>
          <w:t>7.1 Strengthening Social Participation for Health</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_Toc215947154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17</w:t>
        </w:r>
        <w:r w:rsidRPr="00C225BE">
          <w:rPr>
            <w:rFonts w:asciiTheme="minorHAnsi" w:hAnsiTheme="minorHAnsi"/>
            <w:noProof/>
            <w:webHidden/>
            <w:sz w:val="24"/>
            <w:szCs w:val="24"/>
          </w:rPr>
          <w:fldChar w:fldCharType="end"/>
        </w:r>
      </w:hyperlink>
    </w:p>
    <w:p w14:paraId="3B01B24A"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5" w:history="1">
        <w:r w:rsidRPr="00C225BE">
          <w:rPr>
            <w:rStyle w:val="Hyperlink"/>
            <w:rFonts w:asciiTheme="minorHAnsi" w:hAnsiTheme="minorHAnsi"/>
            <w:noProof/>
            <w:sz w:val="24"/>
            <w:szCs w:val="24"/>
          </w:rPr>
          <w:t>Phase 1: Establishing an Evidence Base for Social Participation</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_Toc215947155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17</w:t>
        </w:r>
        <w:r w:rsidRPr="00C225BE">
          <w:rPr>
            <w:rFonts w:asciiTheme="minorHAnsi" w:hAnsiTheme="minorHAnsi"/>
            <w:noProof/>
            <w:webHidden/>
            <w:sz w:val="24"/>
            <w:szCs w:val="24"/>
          </w:rPr>
          <w:fldChar w:fldCharType="end"/>
        </w:r>
      </w:hyperlink>
    </w:p>
    <w:p w14:paraId="4B218A76"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6" w:history="1">
        <w:r w:rsidRPr="00C225BE">
          <w:rPr>
            <w:rStyle w:val="Hyperlink"/>
            <w:rFonts w:asciiTheme="minorHAnsi" w:hAnsiTheme="minorHAnsi"/>
            <w:noProof/>
            <w:sz w:val="24"/>
            <w:szCs w:val="24"/>
          </w:rPr>
          <w:t>Phase 2: Strengthening Capacity for Evidence-Informed Advocacy</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_Toc215947156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17</w:t>
        </w:r>
        <w:r w:rsidRPr="00C225BE">
          <w:rPr>
            <w:rFonts w:asciiTheme="minorHAnsi" w:hAnsiTheme="minorHAnsi"/>
            <w:noProof/>
            <w:webHidden/>
            <w:sz w:val="24"/>
            <w:szCs w:val="24"/>
          </w:rPr>
          <w:fldChar w:fldCharType="end"/>
        </w:r>
      </w:hyperlink>
    </w:p>
    <w:p w14:paraId="60C9B8F1"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7" w:history="1">
        <w:r w:rsidRPr="00C225BE">
          <w:rPr>
            <w:rStyle w:val="Hyperlink"/>
            <w:rFonts w:asciiTheme="minorHAnsi" w:hAnsiTheme="minorHAnsi"/>
            <w:noProof/>
            <w:sz w:val="24"/>
            <w:szCs w:val="24"/>
          </w:rPr>
          <w:t>Phase 3</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_Toc215947157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18</w:t>
        </w:r>
        <w:r w:rsidRPr="00C225BE">
          <w:rPr>
            <w:rFonts w:asciiTheme="minorHAnsi" w:hAnsiTheme="minorHAnsi"/>
            <w:noProof/>
            <w:webHidden/>
            <w:sz w:val="24"/>
            <w:szCs w:val="24"/>
          </w:rPr>
          <w:fldChar w:fldCharType="end"/>
        </w:r>
      </w:hyperlink>
    </w:p>
    <w:p w14:paraId="35C8DADB" w14:textId="77777777" w:rsidR="00E97D7A" w:rsidRPr="00C225BE" w:rsidRDefault="00E97D7A">
      <w:pPr>
        <w:pStyle w:val="TOC3"/>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8" w:history="1">
        <w:r w:rsidRPr="00C225BE">
          <w:rPr>
            <w:rStyle w:val="Hyperlink"/>
            <w:rFonts w:asciiTheme="minorHAnsi" w:hAnsiTheme="minorHAnsi"/>
            <w:noProof/>
            <w:sz w:val="24"/>
            <w:szCs w:val="24"/>
          </w:rPr>
          <w:t>Phase 4</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_Toc215947158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22</w:t>
        </w:r>
        <w:r w:rsidRPr="00C225BE">
          <w:rPr>
            <w:rFonts w:asciiTheme="minorHAnsi" w:hAnsiTheme="minorHAnsi"/>
            <w:noProof/>
            <w:webHidden/>
            <w:sz w:val="24"/>
            <w:szCs w:val="24"/>
          </w:rPr>
          <w:fldChar w:fldCharType="end"/>
        </w:r>
      </w:hyperlink>
    </w:p>
    <w:p w14:paraId="7580CD36" w14:textId="77777777" w:rsidR="00E97D7A" w:rsidRPr="00C225BE" w:rsidRDefault="00E97D7A">
      <w:pPr>
        <w:pStyle w:val="TOC2"/>
        <w:tabs>
          <w:tab w:val="right" w:leader="dot" w:pos="8630"/>
        </w:tabs>
        <w:rPr>
          <w:rFonts w:asciiTheme="minorHAnsi" w:eastAsiaTheme="minorEastAsia" w:hAnsiTheme="minorHAnsi" w:cstheme="minorBidi"/>
          <w:noProof/>
          <w:kern w:val="2"/>
          <w:sz w:val="24"/>
          <w:szCs w:val="24"/>
          <w:lang/>
          <w14:ligatures w14:val="standardContextual"/>
        </w:rPr>
      </w:pPr>
      <w:hyperlink w:anchor="_Toc215947159" w:history="1">
        <w:r w:rsidRPr="00C225BE">
          <w:rPr>
            <w:rStyle w:val="Hyperlink"/>
            <w:rFonts w:asciiTheme="minorHAnsi" w:hAnsiTheme="minorHAnsi"/>
            <w:noProof/>
            <w:sz w:val="24"/>
            <w:szCs w:val="24"/>
          </w:rPr>
          <w:t>7.2 Research Contributions</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_Toc215947159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22</w:t>
        </w:r>
        <w:r w:rsidRPr="00C225BE">
          <w:rPr>
            <w:rFonts w:asciiTheme="minorHAnsi" w:hAnsiTheme="minorHAnsi"/>
            <w:noProof/>
            <w:webHidden/>
            <w:sz w:val="24"/>
            <w:szCs w:val="24"/>
          </w:rPr>
          <w:fldChar w:fldCharType="end"/>
        </w:r>
      </w:hyperlink>
    </w:p>
    <w:p w14:paraId="694D7FA9" w14:textId="77777777" w:rsidR="00E97D7A" w:rsidRPr="00C225BE" w:rsidRDefault="00E97D7A">
      <w:pPr>
        <w:pStyle w:val="TOC2"/>
        <w:tabs>
          <w:tab w:val="right" w:leader="dot" w:pos="8630"/>
        </w:tabs>
        <w:rPr>
          <w:rFonts w:asciiTheme="minorHAnsi" w:eastAsiaTheme="minorEastAsia" w:hAnsiTheme="minorHAnsi" w:cstheme="minorBidi"/>
          <w:noProof/>
          <w:kern w:val="2"/>
          <w:sz w:val="24"/>
          <w:szCs w:val="24"/>
          <w:lang/>
          <w14:ligatures w14:val="standardContextual"/>
        </w:rPr>
      </w:pPr>
      <w:hyperlink w:anchor="_Toc215947160" w:history="1">
        <w:r w:rsidRPr="00C225BE">
          <w:rPr>
            <w:rStyle w:val="Hyperlink"/>
            <w:rFonts w:asciiTheme="minorHAnsi" w:hAnsiTheme="minorHAnsi"/>
            <w:noProof/>
            <w:sz w:val="24"/>
            <w:szCs w:val="24"/>
          </w:rPr>
          <w:t>7.3 Advocacy and Global Engagement</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_Toc215947160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23</w:t>
        </w:r>
        <w:r w:rsidRPr="00C225BE">
          <w:rPr>
            <w:rFonts w:asciiTheme="minorHAnsi" w:hAnsiTheme="minorHAnsi"/>
            <w:noProof/>
            <w:webHidden/>
            <w:sz w:val="24"/>
            <w:szCs w:val="24"/>
          </w:rPr>
          <w:fldChar w:fldCharType="end"/>
        </w:r>
      </w:hyperlink>
    </w:p>
    <w:p w14:paraId="5D2757BA" w14:textId="77777777" w:rsidR="00E97D7A" w:rsidRPr="00C225BE" w:rsidRDefault="00E97D7A">
      <w:pPr>
        <w:pStyle w:val="TOC2"/>
        <w:tabs>
          <w:tab w:val="right" w:leader="dot" w:pos="8630"/>
        </w:tabs>
        <w:rPr>
          <w:rFonts w:asciiTheme="minorHAnsi" w:eastAsiaTheme="minorEastAsia" w:hAnsiTheme="minorHAnsi" w:cstheme="minorBidi"/>
          <w:noProof/>
          <w:kern w:val="2"/>
          <w:sz w:val="24"/>
          <w:szCs w:val="24"/>
          <w:lang/>
          <w14:ligatures w14:val="standardContextual"/>
        </w:rPr>
      </w:pPr>
      <w:hyperlink w:anchor="_Toc215947161" w:history="1">
        <w:r w:rsidRPr="00C225BE">
          <w:rPr>
            <w:rStyle w:val="Hyperlink"/>
            <w:rFonts w:asciiTheme="minorHAnsi" w:hAnsiTheme="minorHAnsi"/>
            <w:noProof/>
            <w:sz w:val="24"/>
            <w:szCs w:val="24"/>
          </w:rPr>
          <w:t>7.4 Capacity Strengthening</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_Toc215947161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24</w:t>
        </w:r>
        <w:r w:rsidRPr="00C225BE">
          <w:rPr>
            <w:rFonts w:asciiTheme="minorHAnsi" w:hAnsiTheme="minorHAnsi"/>
            <w:noProof/>
            <w:webHidden/>
            <w:sz w:val="24"/>
            <w:szCs w:val="24"/>
          </w:rPr>
          <w:fldChar w:fldCharType="end"/>
        </w:r>
      </w:hyperlink>
    </w:p>
    <w:p w14:paraId="495D5289"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62" w:history="1">
        <w:r w:rsidRPr="00C225BE">
          <w:rPr>
            <w:rStyle w:val="Hyperlink"/>
            <w:rFonts w:asciiTheme="minorHAnsi" w:hAnsiTheme="minorHAnsi"/>
            <w:noProof/>
            <w:sz w:val="24"/>
            <w:szCs w:val="24"/>
          </w:rPr>
          <w:t>8. Progress Against Contractual Deliverables</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_Toc215947162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26</w:t>
        </w:r>
        <w:r w:rsidRPr="00C225BE">
          <w:rPr>
            <w:rFonts w:asciiTheme="minorHAnsi" w:hAnsiTheme="minorHAnsi"/>
            <w:noProof/>
            <w:webHidden/>
            <w:sz w:val="24"/>
            <w:szCs w:val="24"/>
          </w:rPr>
          <w:fldChar w:fldCharType="end"/>
        </w:r>
      </w:hyperlink>
    </w:p>
    <w:p w14:paraId="1C34350D"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63" w:history="1">
        <w:r w:rsidRPr="00C225BE">
          <w:rPr>
            <w:rStyle w:val="Hyperlink"/>
            <w:rFonts w:asciiTheme="minorHAnsi" w:hAnsiTheme="minorHAnsi"/>
            <w:noProof/>
            <w:sz w:val="24"/>
            <w:szCs w:val="24"/>
          </w:rPr>
          <w:t>9. Monitoring, Learning, and Adaptation</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_Toc215947163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27</w:t>
        </w:r>
        <w:r w:rsidRPr="00C225BE">
          <w:rPr>
            <w:rFonts w:asciiTheme="minorHAnsi" w:hAnsiTheme="minorHAnsi"/>
            <w:noProof/>
            <w:webHidden/>
            <w:sz w:val="24"/>
            <w:szCs w:val="24"/>
          </w:rPr>
          <w:fldChar w:fldCharType="end"/>
        </w:r>
      </w:hyperlink>
    </w:p>
    <w:p w14:paraId="19E4010D"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64" w:history="1">
        <w:r w:rsidRPr="00C225BE">
          <w:rPr>
            <w:rStyle w:val="Hyperlink"/>
            <w:rFonts w:asciiTheme="minorHAnsi" w:hAnsiTheme="minorHAnsi"/>
            <w:noProof/>
            <w:sz w:val="24"/>
            <w:szCs w:val="24"/>
          </w:rPr>
          <w:t>10. Challenges and Mitigation Strategies</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_Toc215947164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29</w:t>
        </w:r>
        <w:r w:rsidRPr="00C225BE">
          <w:rPr>
            <w:rFonts w:asciiTheme="minorHAnsi" w:hAnsiTheme="minorHAnsi"/>
            <w:noProof/>
            <w:webHidden/>
            <w:sz w:val="24"/>
            <w:szCs w:val="24"/>
          </w:rPr>
          <w:fldChar w:fldCharType="end"/>
        </w:r>
      </w:hyperlink>
    </w:p>
    <w:p w14:paraId="5B091495"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65" w:history="1">
        <w:r w:rsidRPr="00C225BE">
          <w:rPr>
            <w:rStyle w:val="Hyperlink"/>
            <w:rFonts w:asciiTheme="minorHAnsi" w:hAnsiTheme="minorHAnsi"/>
            <w:noProof/>
            <w:sz w:val="24"/>
            <w:szCs w:val="24"/>
          </w:rPr>
          <w:t>11. Sustainability and Future Directions</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_Toc215947165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30</w:t>
        </w:r>
        <w:r w:rsidRPr="00C225BE">
          <w:rPr>
            <w:rFonts w:asciiTheme="minorHAnsi" w:hAnsiTheme="minorHAnsi"/>
            <w:noProof/>
            <w:webHidden/>
            <w:sz w:val="24"/>
            <w:szCs w:val="24"/>
          </w:rPr>
          <w:fldChar w:fldCharType="end"/>
        </w:r>
      </w:hyperlink>
    </w:p>
    <w:p w14:paraId="06676F33"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66" w:history="1">
        <w:r w:rsidRPr="00C225BE">
          <w:rPr>
            <w:rStyle w:val="Hyperlink"/>
            <w:rFonts w:asciiTheme="minorHAnsi" w:hAnsiTheme="minorHAnsi"/>
            <w:noProof/>
            <w:sz w:val="24"/>
            <w:szCs w:val="24"/>
          </w:rPr>
          <w:t>12. Conclusion</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_Toc215947166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32</w:t>
        </w:r>
        <w:r w:rsidRPr="00C225BE">
          <w:rPr>
            <w:rFonts w:asciiTheme="minorHAnsi" w:hAnsiTheme="minorHAnsi"/>
            <w:noProof/>
            <w:webHidden/>
            <w:sz w:val="24"/>
            <w:szCs w:val="24"/>
          </w:rPr>
          <w:fldChar w:fldCharType="end"/>
        </w:r>
      </w:hyperlink>
    </w:p>
    <w:p w14:paraId="4921AD8D" w14:textId="77777777" w:rsidR="00E97D7A" w:rsidRPr="00C225BE" w:rsidRDefault="00E97D7A">
      <w:pPr>
        <w:pStyle w:val="TOC1"/>
        <w:tabs>
          <w:tab w:val="right" w:leader="dot" w:pos="8630"/>
        </w:tabs>
        <w:rPr>
          <w:rFonts w:asciiTheme="minorHAnsi" w:eastAsiaTheme="minorEastAsia" w:hAnsiTheme="minorHAnsi" w:cstheme="minorBidi"/>
          <w:noProof/>
          <w:kern w:val="2"/>
          <w:sz w:val="24"/>
          <w:szCs w:val="24"/>
          <w:lang/>
          <w14:ligatures w14:val="standardContextual"/>
        </w:rPr>
      </w:pPr>
      <w:hyperlink w:anchor="_Toc215947167" w:history="1">
        <w:r w:rsidRPr="00C225BE">
          <w:rPr>
            <w:rStyle w:val="Hyperlink"/>
            <w:rFonts w:asciiTheme="minorHAnsi" w:hAnsiTheme="minorHAnsi"/>
            <w:noProof/>
            <w:sz w:val="24"/>
            <w:szCs w:val="24"/>
          </w:rPr>
          <w:t>13. Annexes</w:t>
        </w:r>
        <w:r w:rsidRPr="00C225BE">
          <w:rPr>
            <w:rFonts w:asciiTheme="minorHAnsi" w:hAnsiTheme="minorHAnsi"/>
            <w:noProof/>
            <w:webHidden/>
            <w:sz w:val="24"/>
            <w:szCs w:val="24"/>
          </w:rPr>
          <w:tab/>
        </w:r>
        <w:r w:rsidRPr="00C225BE">
          <w:rPr>
            <w:rFonts w:asciiTheme="minorHAnsi" w:hAnsiTheme="minorHAnsi"/>
            <w:noProof/>
            <w:webHidden/>
            <w:sz w:val="24"/>
            <w:szCs w:val="24"/>
          </w:rPr>
          <w:fldChar w:fldCharType="begin"/>
        </w:r>
        <w:r w:rsidRPr="00C225BE">
          <w:rPr>
            <w:rFonts w:asciiTheme="minorHAnsi" w:hAnsiTheme="minorHAnsi"/>
            <w:noProof/>
            <w:webHidden/>
            <w:sz w:val="24"/>
            <w:szCs w:val="24"/>
          </w:rPr>
          <w:instrText xml:space="preserve"> PAGEREF _Toc215947167 \h </w:instrText>
        </w:r>
        <w:r w:rsidRPr="00C225BE">
          <w:rPr>
            <w:rFonts w:asciiTheme="minorHAnsi" w:hAnsiTheme="minorHAnsi"/>
            <w:noProof/>
            <w:webHidden/>
            <w:sz w:val="24"/>
            <w:szCs w:val="24"/>
          </w:rPr>
        </w:r>
        <w:r w:rsidRPr="00C225BE">
          <w:rPr>
            <w:rFonts w:asciiTheme="minorHAnsi" w:hAnsiTheme="minorHAnsi"/>
            <w:noProof/>
            <w:webHidden/>
            <w:sz w:val="24"/>
            <w:szCs w:val="24"/>
          </w:rPr>
          <w:fldChar w:fldCharType="separate"/>
        </w:r>
        <w:r w:rsidRPr="00C225BE">
          <w:rPr>
            <w:rFonts w:asciiTheme="minorHAnsi" w:hAnsiTheme="minorHAnsi"/>
            <w:noProof/>
            <w:webHidden/>
            <w:sz w:val="24"/>
            <w:szCs w:val="24"/>
          </w:rPr>
          <w:t>34</w:t>
        </w:r>
        <w:r w:rsidRPr="00C225BE">
          <w:rPr>
            <w:rFonts w:asciiTheme="minorHAnsi" w:hAnsiTheme="minorHAnsi"/>
            <w:noProof/>
            <w:webHidden/>
            <w:sz w:val="24"/>
            <w:szCs w:val="24"/>
          </w:rPr>
          <w:fldChar w:fldCharType="end"/>
        </w:r>
      </w:hyperlink>
    </w:p>
    <w:p w14:paraId="2C0BD2A4" w14:textId="77777777" w:rsidR="00D04F94" w:rsidRPr="00C225BE" w:rsidRDefault="007307B8" w:rsidP="00E97D7A">
      <w:pPr>
        <w:pStyle w:val="Heading1"/>
        <w:rPr>
          <w:rFonts w:asciiTheme="minorHAnsi" w:hAnsiTheme="minorHAnsi"/>
          <w:sz w:val="24"/>
          <w:szCs w:val="24"/>
        </w:rPr>
      </w:pPr>
      <w:r w:rsidRPr="00C225BE">
        <w:rPr>
          <w:rFonts w:asciiTheme="minorHAnsi" w:hAnsiTheme="minorHAnsi"/>
          <w:sz w:val="24"/>
          <w:szCs w:val="24"/>
        </w:rPr>
        <w:fldChar w:fldCharType="end"/>
      </w:r>
      <w:bookmarkStart w:id="1" w:name="_Toc215947137"/>
      <w:r w:rsidRPr="00C225BE">
        <w:rPr>
          <w:rFonts w:asciiTheme="minorHAnsi" w:hAnsiTheme="minorHAnsi"/>
          <w:sz w:val="24"/>
          <w:szCs w:val="24"/>
        </w:rPr>
        <w:t>3. Acronyms and Abbreviations</w:t>
      </w:r>
      <w:bookmarkEnd w:id="1"/>
    </w:p>
    <w:tbl>
      <w:tblPr>
        <w:tblStyle w:val="a"/>
        <w:tblW w:w="86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10"/>
        <w:gridCol w:w="6430"/>
      </w:tblGrid>
      <w:tr w:rsidR="00D04F94" w:rsidRPr="00C225BE" w14:paraId="3A9AEC10" w14:textId="77777777">
        <w:trPr>
          <w:trHeight w:val="225"/>
        </w:trPr>
        <w:tc>
          <w:tcPr>
            <w:tcW w:w="2210" w:type="dxa"/>
            <w:tcBorders>
              <w:top w:val="nil"/>
              <w:left w:val="nil"/>
              <w:bottom w:val="nil"/>
              <w:right w:val="nil"/>
            </w:tcBorders>
            <w:tcMar>
              <w:top w:w="0" w:type="dxa"/>
              <w:left w:w="100" w:type="dxa"/>
              <w:bottom w:w="0" w:type="dxa"/>
              <w:right w:w="100" w:type="dxa"/>
            </w:tcMar>
          </w:tcPr>
          <w:p w14:paraId="5C9C9DF1"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Acronym</w:t>
            </w:r>
          </w:p>
        </w:tc>
        <w:tc>
          <w:tcPr>
            <w:tcW w:w="6429" w:type="dxa"/>
            <w:tcBorders>
              <w:top w:val="nil"/>
              <w:left w:val="nil"/>
              <w:bottom w:val="nil"/>
              <w:right w:val="nil"/>
            </w:tcBorders>
            <w:tcMar>
              <w:top w:w="0" w:type="dxa"/>
              <w:left w:w="100" w:type="dxa"/>
              <w:bottom w:w="0" w:type="dxa"/>
              <w:right w:w="100" w:type="dxa"/>
            </w:tcMar>
          </w:tcPr>
          <w:p w14:paraId="7F640183"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Definition</w:t>
            </w:r>
          </w:p>
        </w:tc>
      </w:tr>
      <w:tr w:rsidR="00D04F94" w:rsidRPr="00C225BE" w14:paraId="4D53E4C3" w14:textId="77777777">
        <w:trPr>
          <w:trHeight w:val="225"/>
        </w:trPr>
        <w:tc>
          <w:tcPr>
            <w:tcW w:w="2210" w:type="dxa"/>
            <w:tcBorders>
              <w:top w:val="nil"/>
              <w:left w:val="nil"/>
              <w:bottom w:val="nil"/>
              <w:right w:val="nil"/>
            </w:tcBorders>
            <w:tcMar>
              <w:top w:w="0" w:type="dxa"/>
              <w:left w:w="100" w:type="dxa"/>
              <w:bottom w:w="0" w:type="dxa"/>
              <w:right w:w="100" w:type="dxa"/>
            </w:tcMar>
          </w:tcPr>
          <w:p w14:paraId="645EE3D3"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AIHD</w:t>
            </w:r>
          </w:p>
        </w:tc>
        <w:tc>
          <w:tcPr>
            <w:tcW w:w="6429" w:type="dxa"/>
            <w:tcBorders>
              <w:top w:val="nil"/>
              <w:left w:val="nil"/>
              <w:bottom w:val="nil"/>
              <w:right w:val="nil"/>
            </w:tcBorders>
            <w:tcMar>
              <w:top w:w="0" w:type="dxa"/>
              <w:left w:w="100" w:type="dxa"/>
              <w:bottom w:w="0" w:type="dxa"/>
              <w:right w:w="100" w:type="dxa"/>
            </w:tcMar>
          </w:tcPr>
          <w:p w14:paraId="2756F078"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African Institute for Health &amp; Development</w:t>
            </w:r>
          </w:p>
        </w:tc>
      </w:tr>
      <w:tr w:rsidR="00D04F94" w:rsidRPr="00C225BE" w14:paraId="0D94765E" w14:textId="77777777">
        <w:trPr>
          <w:trHeight w:val="225"/>
        </w:trPr>
        <w:tc>
          <w:tcPr>
            <w:tcW w:w="2210" w:type="dxa"/>
            <w:tcBorders>
              <w:top w:val="nil"/>
              <w:left w:val="nil"/>
              <w:bottom w:val="nil"/>
              <w:right w:val="nil"/>
            </w:tcBorders>
            <w:tcMar>
              <w:top w:w="0" w:type="dxa"/>
              <w:left w:w="100" w:type="dxa"/>
              <w:bottom w:w="0" w:type="dxa"/>
              <w:right w:w="100" w:type="dxa"/>
            </w:tcMar>
          </w:tcPr>
          <w:p w14:paraId="267BFD62"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CBEOF</w:t>
            </w:r>
          </w:p>
        </w:tc>
        <w:tc>
          <w:tcPr>
            <w:tcW w:w="6429" w:type="dxa"/>
            <w:tcBorders>
              <w:top w:val="nil"/>
              <w:left w:val="nil"/>
              <w:bottom w:val="nil"/>
              <w:right w:val="nil"/>
            </w:tcBorders>
            <w:tcMar>
              <w:top w:w="0" w:type="dxa"/>
              <w:left w:w="100" w:type="dxa"/>
              <w:bottom w:w="0" w:type="dxa"/>
              <w:right w:w="100" w:type="dxa"/>
            </w:tcMar>
          </w:tcPr>
          <w:p w14:paraId="7DB46BB2"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County Budget and Economic Outlook Forum</w:t>
            </w:r>
          </w:p>
        </w:tc>
      </w:tr>
      <w:tr w:rsidR="00D04F94" w:rsidRPr="00C225BE" w14:paraId="24C57CBE" w14:textId="77777777">
        <w:trPr>
          <w:trHeight w:val="225"/>
        </w:trPr>
        <w:tc>
          <w:tcPr>
            <w:tcW w:w="2210" w:type="dxa"/>
            <w:tcBorders>
              <w:top w:val="nil"/>
              <w:left w:val="nil"/>
              <w:bottom w:val="nil"/>
              <w:right w:val="nil"/>
            </w:tcBorders>
            <w:tcMar>
              <w:top w:w="0" w:type="dxa"/>
              <w:left w:w="100" w:type="dxa"/>
              <w:bottom w:w="0" w:type="dxa"/>
              <w:right w:w="100" w:type="dxa"/>
            </w:tcMar>
          </w:tcPr>
          <w:p w14:paraId="138D9A71"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CBROP</w:t>
            </w:r>
          </w:p>
        </w:tc>
        <w:tc>
          <w:tcPr>
            <w:tcW w:w="6429" w:type="dxa"/>
            <w:tcBorders>
              <w:top w:val="nil"/>
              <w:left w:val="nil"/>
              <w:bottom w:val="nil"/>
              <w:right w:val="nil"/>
            </w:tcBorders>
            <w:tcMar>
              <w:top w:w="0" w:type="dxa"/>
              <w:left w:w="100" w:type="dxa"/>
              <w:bottom w:w="0" w:type="dxa"/>
              <w:right w:w="100" w:type="dxa"/>
            </w:tcMar>
          </w:tcPr>
          <w:p w14:paraId="3A6A8D8F"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County Budget Review and Outlook Paper</w:t>
            </w:r>
          </w:p>
        </w:tc>
      </w:tr>
      <w:tr w:rsidR="00D04F94" w:rsidRPr="00C225BE" w14:paraId="470BA499" w14:textId="77777777">
        <w:trPr>
          <w:trHeight w:val="225"/>
        </w:trPr>
        <w:tc>
          <w:tcPr>
            <w:tcW w:w="2210" w:type="dxa"/>
            <w:tcBorders>
              <w:top w:val="nil"/>
              <w:left w:val="nil"/>
              <w:bottom w:val="nil"/>
              <w:right w:val="nil"/>
            </w:tcBorders>
            <w:tcMar>
              <w:top w:w="0" w:type="dxa"/>
              <w:left w:w="100" w:type="dxa"/>
              <w:bottom w:w="0" w:type="dxa"/>
              <w:right w:w="100" w:type="dxa"/>
            </w:tcMar>
          </w:tcPr>
          <w:p w14:paraId="474F5E0A"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CECM</w:t>
            </w:r>
          </w:p>
        </w:tc>
        <w:tc>
          <w:tcPr>
            <w:tcW w:w="6429" w:type="dxa"/>
            <w:tcBorders>
              <w:top w:val="nil"/>
              <w:left w:val="nil"/>
              <w:bottom w:val="nil"/>
              <w:right w:val="nil"/>
            </w:tcBorders>
            <w:tcMar>
              <w:top w:w="0" w:type="dxa"/>
              <w:left w:w="100" w:type="dxa"/>
              <w:bottom w:w="0" w:type="dxa"/>
              <w:right w:w="100" w:type="dxa"/>
            </w:tcMar>
          </w:tcPr>
          <w:p w14:paraId="4AD77761"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County Executive Committee Member</w:t>
            </w:r>
          </w:p>
        </w:tc>
      </w:tr>
      <w:tr w:rsidR="00D04F94" w:rsidRPr="00C225BE" w14:paraId="265233A2" w14:textId="77777777">
        <w:trPr>
          <w:trHeight w:val="225"/>
        </w:trPr>
        <w:tc>
          <w:tcPr>
            <w:tcW w:w="2210" w:type="dxa"/>
            <w:tcBorders>
              <w:top w:val="nil"/>
              <w:left w:val="nil"/>
              <w:bottom w:val="nil"/>
              <w:right w:val="nil"/>
            </w:tcBorders>
            <w:tcMar>
              <w:top w:w="0" w:type="dxa"/>
              <w:left w:w="100" w:type="dxa"/>
              <w:bottom w:w="0" w:type="dxa"/>
              <w:right w:w="100" w:type="dxa"/>
            </w:tcMar>
          </w:tcPr>
          <w:p w14:paraId="24B64BB0"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CEO</w:t>
            </w:r>
          </w:p>
        </w:tc>
        <w:tc>
          <w:tcPr>
            <w:tcW w:w="6429" w:type="dxa"/>
            <w:tcBorders>
              <w:top w:val="nil"/>
              <w:left w:val="nil"/>
              <w:bottom w:val="nil"/>
              <w:right w:val="nil"/>
            </w:tcBorders>
            <w:tcMar>
              <w:top w:w="0" w:type="dxa"/>
              <w:left w:w="100" w:type="dxa"/>
              <w:bottom w:w="0" w:type="dxa"/>
              <w:right w:w="100" w:type="dxa"/>
            </w:tcMar>
          </w:tcPr>
          <w:p w14:paraId="00826B12"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Chief Executive Officer</w:t>
            </w:r>
          </w:p>
        </w:tc>
      </w:tr>
      <w:tr w:rsidR="00D04F94" w:rsidRPr="00C225BE" w14:paraId="729041D2" w14:textId="77777777">
        <w:trPr>
          <w:trHeight w:val="225"/>
        </w:trPr>
        <w:tc>
          <w:tcPr>
            <w:tcW w:w="2210" w:type="dxa"/>
            <w:tcBorders>
              <w:top w:val="nil"/>
              <w:left w:val="nil"/>
              <w:bottom w:val="nil"/>
              <w:right w:val="nil"/>
            </w:tcBorders>
            <w:tcMar>
              <w:top w:w="0" w:type="dxa"/>
              <w:left w:w="100" w:type="dxa"/>
              <w:bottom w:w="0" w:type="dxa"/>
              <w:right w:w="100" w:type="dxa"/>
            </w:tcMar>
          </w:tcPr>
          <w:p w14:paraId="3A939A21"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CHP</w:t>
            </w:r>
          </w:p>
        </w:tc>
        <w:tc>
          <w:tcPr>
            <w:tcW w:w="6429" w:type="dxa"/>
            <w:tcBorders>
              <w:top w:val="nil"/>
              <w:left w:val="nil"/>
              <w:bottom w:val="nil"/>
              <w:right w:val="nil"/>
            </w:tcBorders>
            <w:tcMar>
              <w:top w:w="0" w:type="dxa"/>
              <w:left w:w="100" w:type="dxa"/>
              <w:bottom w:w="0" w:type="dxa"/>
              <w:right w:w="100" w:type="dxa"/>
            </w:tcMar>
          </w:tcPr>
          <w:p w14:paraId="4B8CC5E2"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Community Health Promoter</w:t>
            </w:r>
          </w:p>
        </w:tc>
      </w:tr>
      <w:tr w:rsidR="00D04F94" w:rsidRPr="00C225BE" w14:paraId="7D4F0CE9" w14:textId="77777777">
        <w:trPr>
          <w:trHeight w:val="225"/>
        </w:trPr>
        <w:tc>
          <w:tcPr>
            <w:tcW w:w="2210" w:type="dxa"/>
            <w:tcBorders>
              <w:top w:val="nil"/>
              <w:left w:val="nil"/>
              <w:bottom w:val="nil"/>
              <w:right w:val="nil"/>
            </w:tcBorders>
            <w:tcMar>
              <w:top w:w="0" w:type="dxa"/>
              <w:left w:w="100" w:type="dxa"/>
              <w:bottom w:w="0" w:type="dxa"/>
              <w:right w:w="100" w:type="dxa"/>
            </w:tcMar>
          </w:tcPr>
          <w:p w14:paraId="233A0383"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CHMT</w:t>
            </w:r>
          </w:p>
        </w:tc>
        <w:tc>
          <w:tcPr>
            <w:tcW w:w="6429" w:type="dxa"/>
            <w:tcBorders>
              <w:top w:val="nil"/>
              <w:left w:val="nil"/>
              <w:bottom w:val="nil"/>
              <w:right w:val="nil"/>
            </w:tcBorders>
            <w:tcMar>
              <w:top w:w="0" w:type="dxa"/>
              <w:left w:w="100" w:type="dxa"/>
              <w:bottom w:w="0" w:type="dxa"/>
              <w:right w:w="100" w:type="dxa"/>
            </w:tcMar>
          </w:tcPr>
          <w:p w14:paraId="03A57390"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County Health Management Team</w:t>
            </w:r>
          </w:p>
        </w:tc>
      </w:tr>
      <w:tr w:rsidR="00D04F94" w:rsidRPr="00C225BE" w14:paraId="62536058" w14:textId="77777777">
        <w:trPr>
          <w:trHeight w:val="225"/>
        </w:trPr>
        <w:tc>
          <w:tcPr>
            <w:tcW w:w="2210" w:type="dxa"/>
            <w:tcBorders>
              <w:top w:val="nil"/>
              <w:left w:val="nil"/>
              <w:bottom w:val="nil"/>
              <w:right w:val="nil"/>
            </w:tcBorders>
            <w:tcMar>
              <w:top w:w="0" w:type="dxa"/>
              <w:left w:w="100" w:type="dxa"/>
              <w:bottom w:w="0" w:type="dxa"/>
              <w:right w:w="100" w:type="dxa"/>
            </w:tcMar>
          </w:tcPr>
          <w:p w14:paraId="5CAF5049"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CSO</w:t>
            </w:r>
          </w:p>
        </w:tc>
        <w:tc>
          <w:tcPr>
            <w:tcW w:w="6429" w:type="dxa"/>
            <w:tcBorders>
              <w:top w:val="nil"/>
              <w:left w:val="nil"/>
              <w:bottom w:val="nil"/>
              <w:right w:val="nil"/>
            </w:tcBorders>
            <w:tcMar>
              <w:top w:w="0" w:type="dxa"/>
              <w:left w:w="100" w:type="dxa"/>
              <w:bottom w:w="0" w:type="dxa"/>
              <w:right w:w="100" w:type="dxa"/>
            </w:tcMar>
          </w:tcPr>
          <w:p w14:paraId="4CA7F449"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Civil Society Organization</w:t>
            </w:r>
          </w:p>
        </w:tc>
      </w:tr>
      <w:tr w:rsidR="00D04F94" w:rsidRPr="00C225BE" w14:paraId="4D1BAD7B" w14:textId="77777777">
        <w:trPr>
          <w:trHeight w:val="225"/>
        </w:trPr>
        <w:tc>
          <w:tcPr>
            <w:tcW w:w="2210" w:type="dxa"/>
            <w:tcBorders>
              <w:top w:val="nil"/>
              <w:left w:val="nil"/>
              <w:bottom w:val="nil"/>
              <w:right w:val="nil"/>
            </w:tcBorders>
            <w:tcMar>
              <w:top w:w="0" w:type="dxa"/>
              <w:left w:w="100" w:type="dxa"/>
              <w:bottom w:w="0" w:type="dxa"/>
              <w:right w:w="100" w:type="dxa"/>
            </w:tcMar>
          </w:tcPr>
          <w:p w14:paraId="33A40947"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CSR</w:t>
            </w:r>
          </w:p>
        </w:tc>
        <w:tc>
          <w:tcPr>
            <w:tcW w:w="6429" w:type="dxa"/>
            <w:tcBorders>
              <w:top w:val="nil"/>
              <w:left w:val="nil"/>
              <w:bottom w:val="nil"/>
              <w:right w:val="nil"/>
            </w:tcBorders>
            <w:tcMar>
              <w:top w:w="0" w:type="dxa"/>
              <w:left w:w="100" w:type="dxa"/>
              <w:bottom w:w="0" w:type="dxa"/>
              <w:right w:w="100" w:type="dxa"/>
            </w:tcMar>
          </w:tcPr>
          <w:p w14:paraId="3704C58E"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Corporate Social Responsibility</w:t>
            </w:r>
          </w:p>
        </w:tc>
      </w:tr>
      <w:tr w:rsidR="00D04F94" w:rsidRPr="00C225BE" w14:paraId="4D473259" w14:textId="77777777">
        <w:trPr>
          <w:trHeight w:val="225"/>
        </w:trPr>
        <w:tc>
          <w:tcPr>
            <w:tcW w:w="2210" w:type="dxa"/>
            <w:tcBorders>
              <w:top w:val="nil"/>
              <w:left w:val="nil"/>
              <w:bottom w:val="nil"/>
              <w:right w:val="nil"/>
            </w:tcBorders>
            <w:tcMar>
              <w:top w:w="0" w:type="dxa"/>
              <w:left w:w="100" w:type="dxa"/>
              <w:bottom w:w="0" w:type="dxa"/>
              <w:right w:w="100" w:type="dxa"/>
            </w:tcMar>
          </w:tcPr>
          <w:p w14:paraId="39DB19CE"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FGD</w:t>
            </w:r>
          </w:p>
        </w:tc>
        <w:tc>
          <w:tcPr>
            <w:tcW w:w="6429" w:type="dxa"/>
            <w:tcBorders>
              <w:top w:val="nil"/>
              <w:left w:val="nil"/>
              <w:bottom w:val="nil"/>
              <w:right w:val="nil"/>
            </w:tcBorders>
            <w:tcMar>
              <w:top w:w="0" w:type="dxa"/>
              <w:left w:w="100" w:type="dxa"/>
              <w:bottom w:w="0" w:type="dxa"/>
              <w:right w:w="100" w:type="dxa"/>
            </w:tcMar>
          </w:tcPr>
          <w:p w14:paraId="2579D0AD"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Focus Group Discussion</w:t>
            </w:r>
          </w:p>
        </w:tc>
      </w:tr>
      <w:tr w:rsidR="00D04F94" w:rsidRPr="00C225BE" w14:paraId="07C77AB3" w14:textId="77777777">
        <w:trPr>
          <w:trHeight w:val="225"/>
        </w:trPr>
        <w:tc>
          <w:tcPr>
            <w:tcW w:w="2210" w:type="dxa"/>
            <w:tcBorders>
              <w:top w:val="nil"/>
              <w:left w:val="nil"/>
              <w:bottom w:val="nil"/>
              <w:right w:val="nil"/>
            </w:tcBorders>
            <w:tcMar>
              <w:top w:w="0" w:type="dxa"/>
              <w:left w:w="100" w:type="dxa"/>
              <w:bottom w:w="0" w:type="dxa"/>
              <w:right w:w="100" w:type="dxa"/>
            </w:tcMar>
          </w:tcPr>
          <w:p w14:paraId="3F634E55"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HFMC</w:t>
            </w:r>
          </w:p>
        </w:tc>
        <w:tc>
          <w:tcPr>
            <w:tcW w:w="6429" w:type="dxa"/>
            <w:tcBorders>
              <w:top w:val="nil"/>
              <w:left w:val="nil"/>
              <w:bottom w:val="nil"/>
              <w:right w:val="nil"/>
            </w:tcBorders>
            <w:tcMar>
              <w:top w:w="0" w:type="dxa"/>
              <w:left w:w="100" w:type="dxa"/>
              <w:bottom w:w="0" w:type="dxa"/>
              <w:right w:w="100" w:type="dxa"/>
            </w:tcMar>
          </w:tcPr>
          <w:p w14:paraId="5FC0F017"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Health Facility Management Committee</w:t>
            </w:r>
          </w:p>
        </w:tc>
      </w:tr>
      <w:tr w:rsidR="00D04F94" w:rsidRPr="00C225BE" w14:paraId="49597485" w14:textId="77777777">
        <w:trPr>
          <w:trHeight w:val="225"/>
        </w:trPr>
        <w:tc>
          <w:tcPr>
            <w:tcW w:w="2210" w:type="dxa"/>
            <w:tcBorders>
              <w:top w:val="nil"/>
              <w:left w:val="nil"/>
              <w:bottom w:val="nil"/>
              <w:right w:val="nil"/>
            </w:tcBorders>
            <w:tcMar>
              <w:top w:w="0" w:type="dxa"/>
              <w:left w:w="100" w:type="dxa"/>
              <w:bottom w:w="0" w:type="dxa"/>
              <w:right w:w="100" w:type="dxa"/>
            </w:tcMar>
          </w:tcPr>
          <w:p w14:paraId="0ABADE6D"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HENNET</w:t>
            </w:r>
          </w:p>
        </w:tc>
        <w:tc>
          <w:tcPr>
            <w:tcW w:w="6429" w:type="dxa"/>
            <w:tcBorders>
              <w:top w:val="nil"/>
              <w:left w:val="nil"/>
              <w:bottom w:val="nil"/>
              <w:right w:val="nil"/>
            </w:tcBorders>
            <w:tcMar>
              <w:top w:w="0" w:type="dxa"/>
              <w:left w:w="100" w:type="dxa"/>
              <w:bottom w:w="0" w:type="dxa"/>
              <w:right w:w="100" w:type="dxa"/>
            </w:tcMar>
          </w:tcPr>
          <w:p w14:paraId="3DF3B452"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Health NGOs Network</w:t>
            </w:r>
          </w:p>
        </w:tc>
      </w:tr>
      <w:tr w:rsidR="00D04F94" w:rsidRPr="00C225BE" w14:paraId="4391C60A" w14:textId="77777777">
        <w:trPr>
          <w:trHeight w:val="225"/>
        </w:trPr>
        <w:tc>
          <w:tcPr>
            <w:tcW w:w="2210" w:type="dxa"/>
            <w:tcBorders>
              <w:top w:val="nil"/>
              <w:left w:val="nil"/>
              <w:bottom w:val="nil"/>
              <w:right w:val="nil"/>
            </w:tcBorders>
            <w:tcMar>
              <w:top w:w="0" w:type="dxa"/>
              <w:left w:w="100" w:type="dxa"/>
              <w:bottom w:w="0" w:type="dxa"/>
              <w:right w:w="100" w:type="dxa"/>
            </w:tcMar>
          </w:tcPr>
          <w:p w14:paraId="07D7FE24"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HIV</w:t>
            </w:r>
          </w:p>
        </w:tc>
        <w:tc>
          <w:tcPr>
            <w:tcW w:w="6429" w:type="dxa"/>
            <w:tcBorders>
              <w:top w:val="nil"/>
              <w:left w:val="nil"/>
              <w:bottom w:val="nil"/>
              <w:right w:val="nil"/>
            </w:tcBorders>
            <w:tcMar>
              <w:top w:w="0" w:type="dxa"/>
              <w:left w:w="100" w:type="dxa"/>
              <w:bottom w:w="0" w:type="dxa"/>
              <w:right w:w="100" w:type="dxa"/>
            </w:tcMar>
          </w:tcPr>
          <w:p w14:paraId="043D6D2B"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Human Immunodeficiency Virus</w:t>
            </w:r>
          </w:p>
        </w:tc>
      </w:tr>
      <w:tr w:rsidR="00D04F94" w:rsidRPr="00C225BE" w14:paraId="3CBDAF95" w14:textId="77777777">
        <w:trPr>
          <w:trHeight w:val="225"/>
        </w:trPr>
        <w:tc>
          <w:tcPr>
            <w:tcW w:w="2210" w:type="dxa"/>
            <w:tcBorders>
              <w:top w:val="nil"/>
              <w:left w:val="nil"/>
              <w:bottom w:val="nil"/>
              <w:right w:val="nil"/>
            </w:tcBorders>
            <w:tcMar>
              <w:top w:w="0" w:type="dxa"/>
              <w:left w:w="100" w:type="dxa"/>
              <w:bottom w:w="0" w:type="dxa"/>
              <w:right w:w="100" w:type="dxa"/>
            </w:tcMar>
          </w:tcPr>
          <w:p w14:paraId="4A67490C"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HSR</w:t>
            </w:r>
          </w:p>
        </w:tc>
        <w:tc>
          <w:tcPr>
            <w:tcW w:w="6429" w:type="dxa"/>
            <w:tcBorders>
              <w:top w:val="nil"/>
              <w:left w:val="nil"/>
              <w:bottom w:val="nil"/>
              <w:right w:val="nil"/>
            </w:tcBorders>
            <w:tcMar>
              <w:top w:w="0" w:type="dxa"/>
              <w:left w:w="100" w:type="dxa"/>
              <w:bottom w:w="0" w:type="dxa"/>
              <w:right w:w="100" w:type="dxa"/>
            </w:tcMar>
          </w:tcPr>
          <w:p w14:paraId="776A1BE9"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Health Systems Research Conference</w:t>
            </w:r>
          </w:p>
        </w:tc>
      </w:tr>
      <w:tr w:rsidR="00D04F94" w:rsidRPr="00C225BE" w14:paraId="31A44CD8" w14:textId="77777777">
        <w:trPr>
          <w:trHeight w:val="225"/>
        </w:trPr>
        <w:tc>
          <w:tcPr>
            <w:tcW w:w="2210" w:type="dxa"/>
            <w:tcBorders>
              <w:top w:val="nil"/>
              <w:left w:val="nil"/>
              <w:bottom w:val="nil"/>
              <w:right w:val="nil"/>
            </w:tcBorders>
            <w:tcMar>
              <w:top w:w="0" w:type="dxa"/>
              <w:left w:w="100" w:type="dxa"/>
              <w:bottom w:w="0" w:type="dxa"/>
              <w:right w:w="100" w:type="dxa"/>
            </w:tcMar>
          </w:tcPr>
          <w:p w14:paraId="5405BD5F"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IFMIS</w:t>
            </w:r>
          </w:p>
        </w:tc>
        <w:tc>
          <w:tcPr>
            <w:tcW w:w="6429" w:type="dxa"/>
            <w:tcBorders>
              <w:top w:val="nil"/>
              <w:left w:val="nil"/>
              <w:bottom w:val="nil"/>
              <w:right w:val="nil"/>
            </w:tcBorders>
            <w:tcMar>
              <w:top w:w="0" w:type="dxa"/>
              <w:left w:w="100" w:type="dxa"/>
              <w:bottom w:w="0" w:type="dxa"/>
              <w:right w:w="100" w:type="dxa"/>
            </w:tcMar>
          </w:tcPr>
          <w:p w14:paraId="7B3EC1F8"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Integrated Financial Management Information System</w:t>
            </w:r>
          </w:p>
        </w:tc>
      </w:tr>
      <w:tr w:rsidR="00D04F94" w:rsidRPr="00C225BE" w14:paraId="5C0F98FA" w14:textId="77777777">
        <w:trPr>
          <w:trHeight w:val="225"/>
        </w:trPr>
        <w:tc>
          <w:tcPr>
            <w:tcW w:w="2210" w:type="dxa"/>
            <w:tcBorders>
              <w:top w:val="nil"/>
              <w:left w:val="nil"/>
              <w:bottom w:val="nil"/>
              <w:right w:val="nil"/>
            </w:tcBorders>
            <w:tcMar>
              <w:top w:w="0" w:type="dxa"/>
              <w:left w:w="100" w:type="dxa"/>
              <w:bottom w:w="0" w:type="dxa"/>
              <w:right w:w="100" w:type="dxa"/>
            </w:tcMar>
          </w:tcPr>
          <w:p w14:paraId="0724B6CA"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KII</w:t>
            </w:r>
          </w:p>
        </w:tc>
        <w:tc>
          <w:tcPr>
            <w:tcW w:w="6429" w:type="dxa"/>
            <w:tcBorders>
              <w:top w:val="nil"/>
              <w:left w:val="nil"/>
              <w:bottom w:val="nil"/>
              <w:right w:val="nil"/>
            </w:tcBorders>
            <w:tcMar>
              <w:top w:w="0" w:type="dxa"/>
              <w:left w:w="100" w:type="dxa"/>
              <w:bottom w:w="0" w:type="dxa"/>
              <w:right w:w="100" w:type="dxa"/>
            </w:tcMar>
          </w:tcPr>
          <w:p w14:paraId="26851F54"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Key Informant Interview</w:t>
            </w:r>
          </w:p>
        </w:tc>
      </w:tr>
      <w:tr w:rsidR="00D04F94" w:rsidRPr="00C225BE" w14:paraId="75AD8D00" w14:textId="77777777">
        <w:trPr>
          <w:trHeight w:val="225"/>
        </w:trPr>
        <w:tc>
          <w:tcPr>
            <w:tcW w:w="2210" w:type="dxa"/>
            <w:tcBorders>
              <w:top w:val="nil"/>
              <w:left w:val="nil"/>
              <w:bottom w:val="nil"/>
              <w:right w:val="nil"/>
            </w:tcBorders>
            <w:tcMar>
              <w:top w:w="0" w:type="dxa"/>
              <w:left w:w="100" w:type="dxa"/>
              <w:bottom w:w="0" w:type="dxa"/>
              <w:right w:w="100" w:type="dxa"/>
            </w:tcMar>
          </w:tcPr>
          <w:p w14:paraId="5D6CA940"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M&amp;E</w:t>
            </w:r>
          </w:p>
        </w:tc>
        <w:tc>
          <w:tcPr>
            <w:tcW w:w="6429" w:type="dxa"/>
            <w:tcBorders>
              <w:top w:val="nil"/>
              <w:left w:val="nil"/>
              <w:bottom w:val="nil"/>
              <w:right w:val="nil"/>
            </w:tcBorders>
            <w:tcMar>
              <w:top w:w="0" w:type="dxa"/>
              <w:left w:w="100" w:type="dxa"/>
              <w:bottom w:w="0" w:type="dxa"/>
              <w:right w:w="100" w:type="dxa"/>
            </w:tcMar>
          </w:tcPr>
          <w:p w14:paraId="2CA5F4D0"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Monitoring and Evaluation</w:t>
            </w:r>
          </w:p>
        </w:tc>
      </w:tr>
      <w:tr w:rsidR="00D04F94" w:rsidRPr="00C225BE" w14:paraId="60D725A2" w14:textId="77777777">
        <w:trPr>
          <w:trHeight w:val="225"/>
        </w:trPr>
        <w:tc>
          <w:tcPr>
            <w:tcW w:w="2210" w:type="dxa"/>
            <w:tcBorders>
              <w:top w:val="nil"/>
              <w:left w:val="nil"/>
              <w:bottom w:val="nil"/>
              <w:right w:val="nil"/>
            </w:tcBorders>
            <w:tcMar>
              <w:top w:w="0" w:type="dxa"/>
              <w:left w:w="100" w:type="dxa"/>
              <w:bottom w:w="0" w:type="dxa"/>
              <w:right w:w="100" w:type="dxa"/>
            </w:tcMar>
          </w:tcPr>
          <w:p w14:paraId="1E07371B"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MCA</w:t>
            </w:r>
          </w:p>
        </w:tc>
        <w:tc>
          <w:tcPr>
            <w:tcW w:w="6429" w:type="dxa"/>
            <w:tcBorders>
              <w:top w:val="nil"/>
              <w:left w:val="nil"/>
              <w:bottom w:val="nil"/>
              <w:right w:val="nil"/>
            </w:tcBorders>
            <w:tcMar>
              <w:top w:w="0" w:type="dxa"/>
              <w:left w:w="100" w:type="dxa"/>
              <w:bottom w:w="0" w:type="dxa"/>
              <w:right w:w="100" w:type="dxa"/>
            </w:tcMar>
          </w:tcPr>
          <w:p w14:paraId="15D9D543"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Member of County Assembly</w:t>
            </w:r>
          </w:p>
        </w:tc>
      </w:tr>
      <w:tr w:rsidR="00D04F94" w:rsidRPr="00C225BE" w14:paraId="28D7A023" w14:textId="77777777">
        <w:trPr>
          <w:trHeight w:val="225"/>
        </w:trPr>
        <w:tc>
          <w:tcPr>
            <w:tcW w:w="2210" w:type="dxa"/>
            <w:tcBorders>
              <w:top w:val="nil"/>
              <w:left w:val="nil"/>
              <w:bottom w:val="nil"/>
              <w:right w:val="nil"/>
            </w:tcBorders>
            <w:tcMar>
              <w:top w:w="0" w:type="dxa"/>
              <w:left w:w="100" w:type="dxa"/>
              <w:bottom w:w="0" w:type="dxa"/>
              <w:right w:w="100" w:type="dxa"/>
            </w:tcMar>
          </w:tcPr>
          <w:p w14:paraId="38CB9DD4"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MOH</w:t>
            </w:r>
          </w:p>
        </w:tc>
        <w:tc>
          <w:tcPr>
            <w:tcW w:w="6429" w:type="dxa"/>
            <w:tcBorders>
              <w:top w:val="nil"/>
              <w:left w:val="nil"/>
              <w:bottom w:val="nil"/>
              <w:right w:val="nil"/>
            </w:tcBorders>
            <w:tcMar>
              <w:top w:w="0" w:type="dxa"/>
              <w:left w:w="100" w:type="dxa"/>
              <w:bottom w:w="0" w:type="dxa"/>
              <w:right w:w="100" w:type="dxa"/>
            </w:tcMar>
          </w:tcPr>
          <w:p w14:paraId="7672B005"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Ministry of Health</w:t>
            </w:r>
          </w:p>
        </w:tc>
      </w:tr>
      <w:tr w:rsidR="00D04F94" w:rsidRPr="00C225BE" w14:paraId="271A92C1" w14:textId="77777777">
        <w:trPr>
          <w:trHeight w:val="225"/>
        </w:trPr>
        <w:tc>
          <w:tcPr>
            <w:tcW w:w="2210" w:type="dxa"/>
            <w:tcBorders>
              <w:top w:val="nil"/>
              <w:left w:val="nil"/>
              <w:bottom w:val="nil"/>
              <w:right w:val="nil"/>
            </w:tcBorders>
            <w:tcMar>
              <w:top w:w="0" w:type="dxa"/>
              <w:left w:w="100" w:type="dxa"/>
              <w:bottom w:w="0" w:type="dxa"/>
              <w:right w:w="100" w:type="dxa"/>
            </w:tcMar>
          </w:tcPr>
          <w:p w14:paraId="73271CFA"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MSH</w:t>
            </w:r>
          </w:p>
        </w:tc>
        <w:tc>
          <w:tcPr>
            <w:tcW w:w="6429" w:type="dxa"/>
            <w:tcBorders>
              <w:top w:val="nil"/>
              <w:left w:val="nil"/>
              <w:bottom w:val="nil"/>
              <w:right w:val="nil"/>
            </w:tcBorders>
            <w:tcMar>
              <w:top w:w="0" w:type="dxa"/>
              <w:left w:w="100" w:type="dxa"/>
              <w:bottom w:w="0" w:type="dxa"/>
              <w:right w:w="100" w:type="dxa"/>
            </w:tcMar>
          </w:tcPr>
          <w:p w14:paraId="3E8FA0DA"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Management Sciences for Health</w:t>
            </w:r>
          </w:p>
        </w:tc>
      </w:tr>
      <w:tr w:rsidR="00D04F94" w:rsidRPr="00C225BE" w14:paraId="38500B4D" w14:textId="77777777">
        <w:trPr>
          <w:trHeight w:val="225"/>
        </w:trPr>
        <w:tc>
          <w:tcPr>
            <w:tcW w:w="2210" w:type="dxa"/>
            <w:tcBorders>
              <w:top w:val="nil"/>
              <w:left w:val="nil"/>
              <w:bottom w:val="nil"/>
              <w:right w:val="nil"/>
            </w:tcBorders>
            <w:tcMar>
              <w:top w:w="0" w:type="dxa"/>
              <w:left w:w="100" w:type="dxa"/>
              <w:bottom w:w="0" w:type="dxa"/>
              <w:right w:w="100" w:type="dxa"/>
            </w:tcMar>
          </w:tcPr>
          <w:p w14:paraId="417CBB7F"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NACOSTI</w:t>
            </w:r>
          </w:p>
        </w:tc>
        <w:tc>
          <w:tcPr>
            <w:tcW w:w="6429" w:type="dxa"/>
            <w:tcBorders>
              <w:top w:val="nil"/>
              <w:left w:val="nil"/>
              <w:bottom w:val="nil"/>
              <w:right w:val="nil"/>
            </w:tcBorders>
            <w:tcMar>
              <w:top w:w="0" w:type="dxa"/>
              <w:left w:w="100" w:type="dxa"/>
              <w:bottom w:w="0" w:type="dxa"/>
              <w:right w:w="100" w:type="dxa"/>
            </w:tcMar>
          </w:tcPr>
          <w:p w14:paraId="6931D89E"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National Commission for Science, Technology and Innovation</w:t>
            </w:r>
          </w:p>
        </w:tc>
      </w:tr>
      <w:tr w:rsidR="00D04F94" w:rsidRPr="00C225BE" w14:paraId="3D6A5096" w14:textId="77777777">
        <w:trPr>
          <w:trHeight w:val="225"/>
        </w:trPr>
        <w:tc>
          <w:tcPr>
            <w:tcW w:w="2210" w:type="dxa"/>
            <w:tcBorders>
              <w:top w:val="nil"/>
              <w:left w:val="nil"/>
              <w:bottom w:val="nil"/>
              <w:right w:val="nil"/>
            </w:tcBorders>
            <w:tcMar>
              <w:top w:w="0" w:type="dxa"/>
              <w:left w:w="100" w:type="dxa"/>
              <w:bottom w:w="0" w:type="dxa"/>
              <w:right w:w="100" w:type="dxa"/>
            </w:tcMar>
          </w:tcPr>
          <w:p w14:paraId="71CE6402"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NGO</w:t>
            </w:r>
          </w:p>
        </w:tc>
        <w:tc>
          <w:tcPr>
            <w:tcW w:w="6429" w:type="dxa"/>
            <w:tcBorders>
              <w:top w:val="nil"/>
              <w:left w:val="nil"/>
              <w:bottom w:val="nil"/>
              <w:right w:val="nil"/>
            </w:tcBorders>
            <w:tcMar>
              <w:top w:w="0" w:type="dxa"/>
              <w:left w:w="100" w:type="dxa"/>
              <w:bottom w:w="0" w:type="dxa"/>
              <w:right w:w="100" w:type="dxa"/>
            </w:tcMar>
          </w:tcPr>
          <w:p w14:paraId="15DF952B"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Non-Governmental Organization</w:t>
            </w:r>
          </w:p>
        </w:tc>
      </w:tr>
      <w:tr w:rsidR="00D04F94" w:rsidRPr="00C225BE" w14:paraId="505AFE7A" w14:textId="77777777">
        <w:trPr>
          <w:trHeight w:val="225"/>
        </w:trPr>
        <w:tc>
          <w:tcPr>
            <w:tcW w:w="2210" w:type="dxa"/>
            <w:tcBorders>
              <w:top w:val="nil"/>
              <w:left w:val="nil"/>
              <w:bottom w:val="nil"/>
              <w:right w:val="nil"/>
            </w:tcBorders>
            <w:tcMar>
              <w:top w:w="0" w:type="dxa"/>
              <w:left w:w="100" w:type="dxa"/>
              <w:bottom w:w="0" w:type="dxa"/>
              <w:right w:w="100" w:type="dxa"/>
            </w:tcMar>
          </w:tcPr>
          <w:p w14:paraId="32A26CA6"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NHIF</w:t>
            </w:r>
          </w:p>
        </w:tc>
        <w:tc>
          <w:tcPr>
            <w:tcW w:w="6429" w:type="dxa"/>
            <w:tcBorders>
              <w:top w:val="nil"/>
              <w:left w:val="nil"/>
              <w:bottom w:val="nil"/>
              <w:right w:val="nil"/>
            </w:tcBorders>
            <w:tcMar>
              <w:top w:w="0" w:type="dxa"/>
              <w:left w:w="100" w:type="dxa"/>
              <w:bottom w:w="0" w:type="dxa"/>
              <w:right w:w="100" w:type="dxa"/>
            </w:tcMar>
          </w:tcPr>
          <w:p w14:paraId="1C2EF433"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National Health Insurance Fund</w:t>
            </w:r>
          </w:p>
        </w:tc>
      </w:tr>
      <w:tr w:rsidR="00D04F94" w:rsidRPr="00C225BE" w14:paraId="2A7E4650" w14:textId="77777777">
        <w:trPr>
          <w:trHeight w:val="225"/>
        </w:trPr>
        <w:tc>
          <w:tcPr>
            <w:tcW w:w="2210" w:type="dxa"/>
            <w:tcBorders>
              <w:top w:val="nil"/>
              <w:left w:val="nil"/>
              <w:bottom w:val="nil"/>
              <w:right w:val="nil"/>
            </w:tcBorders>
            <w:tcMar>
              <w:top w:w="0" w:type="dxa"/>
              <w:left w:w="100" w:type="dxa"/>
              <w:bottom w:w="0" w:type="dxa"/>
              <w:right w:w="100" w:type="dxa"/>
            </w:tcMar>
          </w:tcPr>
          <w:p w14:paraId="4DE15FC4"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OGP</w:t>
            </w:r>
          </w:p>
        </w:tc>
        <w:tc>
          <w:tcPr>
            <w:tcW w:w="6429" w:type="dxa"/>
            <w:tcBorders>
              <w:top w:val="nil"/>
              <w:left w:val="nil"/>
              <w:bottom w:val="nil"/>
              <w:right w:val="nil"/>
            </w:tcBorders>
            <w:tcMar>
              <w:top w:w="0" w:type="dxa"/>
              <w:left w:w="100" w:type="dxa"/>
              <w:bottom w:w="0" w:type="dxa"/>
              <w:right w:w="100" w:type="dxa"/>
            </w:tcMar>
          </w:tcPr>
          <w:p w14:paraId="5A23CD0D"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Open Government Partnership</w:t>
            </w:r>
          </w:p>
        </w:tc>
      </w:tr>
      <w:tr w:rsidR="00D04F94" w:rsidRPr="00C225BE" w14:paraId="07A83972" w14:textId="77777777">
        <w:trPr>
          <w:trHeight w:val="225"/>
        </w:trPr>
        <w:tc>
          <w:tcPr>
            <w:tcW w:w="2210" w:type="dxa"/>
            <w:tcBorders>
              <w:top w:val="nil"/>
              <w:left w:val="nil"/>
              <w:bottom w:val="nil"/>
              <w:right w:val="nil"/>
            </w:tcBorders>
            <w:tcMar>
              <w:top w:w="0" w:type="dxa"/>
              <w:left w:w="100" w:type="dxa"/>
              <w:bottom w:w="0" w:type="dxa"/>
              <w:right w:w="100" w:type="dxa"/>
            </w:tcMar>
          </w:tcPr>
          <w:p w14:paraId="495C35B1"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PBB</w:t>
            </w:r>
          </w:p>
        </w:tc>
        <w:tc>
          <w:tcPr>
            <w:tcW w:w="6429" w:type="dxa"/>
            <w:tcBorders>
              <w:top w:val="nil"/>
              <w:left w:val="nil"/>
              <w:bottom w:val="nil"/>
              <w:right w:val="nil"/>
            </w:tcBorders>
            <w:tcMar>
              <w:top w:w="0" w:type="dxa"/>
              <w:left w:w="100" w:type="dxa"/>
              <w:bottom w:w="0" w:type="dxa"/>
              <w:right w:w="100" w:type="dxa"/>
            </w:tcMar>
          </w:tcPr>
          <w:p w14:paraId="71849DD7"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Program-Based Budget</w:t>
            </w:r>
          </w:p>
        </w:tc>
      </w:tr>
      <w:tr w:rsidR="00D04F94" w:rsidRPr="00C225BE" w14:paraId="79D928A1" w14:textId="77777777">
        <w:trPr>
          <w:trHeight w:val="225"/>
        </w:trPr>
        <w:tc>
          <w:tcPr>
            <w:tcW w:w="2210" w:type="dxa"/>
            <w:tcBorders>
              <w:top w:val="nil"/>
              <w:left w:val="nil"/>
              <w:bottom w:val="nil"/>
              <w:right w:val="nil"/>
            </w:tcBorders>
            <w:tcMar>
              <w:top w:w="0" w:type="dxa"/>
              <w:left w:w="100" w:type="dxa"/>
              <w:bottom w:w="0" w:type="dxa"/>
              <w:right w:w="100" w:type="dxa"/>
            </w:tcMar>
          </w:tcPr>
          <w:p w14:paraId="5BB07319"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PFM</w:t>
            </w:r>
          </w:p>
        </w:tc>
        <w:tc>
          <w:tcPr>
            <w:tcW w:w="6429" w:type="dxa"/>
            <w:tcBorders>
              <w:top w:val="nil"/>
              <w:left w:val="nil"/>
              <w:bottom w:val="nil"/>
              <w:right w:val="nil"/>
            </w:tcBorders>
            <w:tcMar>
              <w:top w:w="0" w:type="dxa"/>
              <w:left w:w="100" w:type="dxa"/>
              <w:bottom w:w="0" w:type="dxa"/>
              <w:right w:w="100" w:type="dxa"/>
            </w:tcMar>
          </w:tcPr>
          <w:p w14:paraId="1B3C7820"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Public Finance Management</w:t>
            </w:r>
          </w:p>
        </w:tc>
      </w:tr>
      <w:tr w:rsidR="00D04F94" w:rsidRPr="00C225BE" w14:paraId="17A64E8F" w14:textId="77777777">
        <w:trPr>
          <w:trHeight w:val="225"/>
        </w:trPr>
        <w:tc>
          <w:tcPr>
            <w:tcW w:w="2210" w:type="dxa"/>
            <w:tcBorders>
              <w:top w:val="nil"/>
              <w:left w:val="nil"/>
              <w:bottom w:val="nil"/>
              <w:right w:val="nil"/>
            </w:tcBorders>
            <w:tcMar>
              <w:top w:w="0" w:type="dxa"/>
              <w:left w:w="100" w:type="dxa"/>
              <w:bottom w:w="0" w:type="dxa"/>
              <w:right w:w="100" w:type="dxa"/>
            </w:tcMar>
          </w:tcPr>
          <w:p w14:paraId="1AF8B3DC"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PHC</w:t>
            </w:r>
          </w:p>
        </w:tc>
        <w:tc>
          <w:tcPr>
            <w:tcW w:w="6429" w:type="dxa"/>
            <w:tcBorders>
              <w:top w:val="nil"/>
              <w:left w:val="nil"/>
              <w:bottom w:val="nil"/>
              <w:right w:val="nil"/>
            </w:tcBorders>
            <w:tcMar>
              <w:top w:w="0" w:type="dxa"/>
              <w:left w:w="100" w:type="dxa"/>
              <w:bottom w:w="0" w:type="dxa"/>
              <w:right w:w="100" w:type="dxa"/>
            </w:tcMar>
          </w:tcPr>
          <w:p w14:paraId="5218ACB4"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Primary Health Care</w:t>
            </w:r>
          </w:p>
        </w:tc>
      </w:tr>
      <w:tr w:rsidR="00D04F94" w:rsidRPr="00C225BE" w14:paraId="2E450DEE" w14:textId="77777777">
        <w:trPr>
          <w:trHeight w:val="225"/>
        </w:trPr>
        <w:tc>
          <w:tcPr>
            <w:tcW w:w="2210" w:type="dxa"/>
            <w:tcBorders>
              <w:top w:val="nil"/>
              <w:left w:val="nil"/>
              <w:bottom w:val="nil"/>
              <w:right w:val="nil"/>
            </w:tcBorders>
            <w:tcMar>
              <w:top w:w="0" w:type="dxa"/>
              <w:left w:w="100" w:type="dxa"/>
              <w:bottom w:w="0" w:type="dxa"/>
              <w:right w:w="100" w:type="dxa"/>
            </w:tcMar>
          </w:tcPr>
          <w:p w14:paraId="62207D45"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PWD</w:t>
            </w:r>
          </w:p>
        </w:tc>
        <w:tc>
          <w:tcPr>
            <w:tcW w:w="6429" w:type="dxa"/>
            <w:tcBorders>
              <w:top w:val="nil"/>
              <w:left w:val="nil"/>
              <w:bottom w:val="nil"/>
              <w:right w:val="nil"/>
            </w:tcBorders>
            <w:tcMar>
              <w:top w:w="0" w:type="dxa"/>
              <w:left w:w="100" w:type="dxa"/>
              <w:bottom w:w="0" w:type="dxa"/>
              <w:right w:w="100" w:type="dxa"/>
            </w:tcMar>
          </w:tcPr>
          <w:p w14:paraId="1372982F"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Person with Disabilities</w:t>
            </w:r>
          </w:p>
        </w:tc>
      </w:tr>
      <w:tr w:rsidR="00D04F94" w:rsidRPr="00C225BE" w14:paraId="755CF39D" w14:textId="77777777">
        <w:trPr>
          <w:trHeight w:val="225"/>
        </w:trPr>
        <w:tc>
          <w:tcPr>
            <w:tcW w:w="2210" w:type="dxa"/>
            <w:tcBorders>
              <w:top w:val="nil"/>
              <w:left w:val="nil"/>
              <w:bottom w:val="nil"/>
              <w:right w:val="nil"/>
            </w:tcBorders>
            <w:tcMar>
              <w:top w:w="0" w:type="dxa"/>
              <w:left w:w="100" w:type="dxa"/>
              <w:bottom w:w="0" w:type="dxa"/>
              <w:right w:w="100" w:type="dxa"/>
            </w:tcMar>
          </w:tcPr>
          <w:p w14:paraId="2A34288C"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RMNCAH-N</w:t>
            </w:r>
          </w:p>
        </w:tc>
        <w:tc>
          <w:tcPr>
            <w:tcW w:w="6429" w:type="dxa"/>
            <w:tcBorders>
              <w:top w:val="nil"/>
              <w:left w:val="nil"/>
              <w:bottom w:val="nil"/>
              <w:right w:val="nil"/>
            </w:tcBorders>
            <w:tcMar>
              <w:top w:w="0" w:type="dxa"/>
              <w:left w:w="100" w:type="dxa"/>
              <w:bottom w:w="0" w:type="dxa"/>
              <w:right w:w="100" w:type="dxa"/>
            </w:tcMar>
          </w:tcPr>
          <w:p w14:paraId="2E044878"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Reproductive, Maternal, Newborn, Child, Adolescent Health and Nutrition</w:t>
            </w:r>
          </w:p>
        </w:tc>
      </w:tr>
      <w:tr w:rsidR="00D04F94" w:rsidRPr="00C225BE" w14:paraId="2D6FBC14" w14:textId="77777777">
        <w:trPr>
          <w:trHeight w:val="225"/>
        </w:trPr>
        <w:tc>
          <w:tcPr>
            <w:tcW w:w="2210" w:type="dxa"/>
            <w:tcBorders>
              <w:top w:val="nil"/>
              <w:left w:val="nil"/>
              <w:bottom w:val="nil"/>
              <w:right w:val="nil"/>
            </w:tcBorders>
            <w:tcMar>
              <w:top w:w="0" w:type="dxa"/>
              <w:left w:w="100" w:type="dxa"/>
              <w:bottom w:w="0" w:type="dxa"/>
              <w:right w:w="100" w:type="dxa"/>
            </w:tcMar>
          </w:tcPr>
          <w:p w14:paraId="09FACDF1"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SHA</w:t>
            </w:r>
          </w:p>
        </w:tc>
        <w:tc>
          <w:tcPr>
            <w:tcW w:w="6429" w:type="dxa"/>
            <w:tcBorders>
              <w:top w:val="nil"/>
              <w:left w:val="nil"/>
              <w:bottom w:val="nil"/>
              <w:right w:val="nil"/>
            </w:tcBorders>
            <w:tcMar>
              <w:top w:w="0" w:type="dxa"/>
              <w:left w:w="100" w:type="dxa"/>
              <w:bottom w:w="0" w:type="dxa"/>
              <w:right w:w="100" w:type="dxa"/>
            </w:tcMar>
          </w:tcPr>
          <w:p w14:paraId="75BB4C6C"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Social Health Authority</w:t>
            </w:r>
          </w:p>
        </w:tc>
      </w:tr>
      <w:tr w:rsidR="00D04F94" w:rsidRPr="00C225BE" w14:paraId="360C4F01" w14:textId="77777777">
        <w:trPr>
          <w:trHeight w:val="225"/>
        </w:trPr>
        <w:tc>
          <w:tcPr>
            <w:tcW w:w="2210" w:type="dxa"/>
            <w:tcBorders>
              <w:top w:val="nil"/>
              <w:left w:val="nil"/>
              <w:bottom w:val="nil"/>
              <w:right w:val="nil"/>
            </w:tcBorders>
            <w:tcMar>
              <w:top w:w="0" w:type="dxa"/>
              <w:left w:w="100" w:type="dxa"/>
              <w:bottom w:w="0" w:type="dxa"/>
              <w:right w:w="100" w:type="dxa"/>
            </w:tcMar>
          </w:tcPr>
          <w:p w14:paraId="328F1406"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SHIF</w:t>
            </w:r>
          </w:p>
        </w:tc>
        <w:tc>
          <w:tcPr>
            <w:tcW w:w="6429" w:type="dxa"/>
            <w:tcBorders>
              <w:top w:val="nil"/>
              <w:left w:val="nil"/>
              <w:bottom w:val="nil"/>
              <w:right w:val="nil"/>
            </w:tcBorders>
            <w:tcMar>
              <w:top w:w="0" w:type="dxa"/>
              <w:left w:w="100" w:type="dxa"/>
              <w:bottom w:w="0" w:type="dxa"/>
              <w:right w:w="100" w:type="dxa"/>
            </w:tcMar>
          </w:tcPr>
          <w:p w14:paraId="35FFEBF8"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Social Health Insurance Fund</w:t>
            </w:r>
          </w:p>
        </w:tc>
      </w:tr>
      <w:tr w:rsidR="00D04F94" w:rsidRPr="00C225BE" w14:paraId="63678C55" w14:textId="77777777">
        <w:trPr>
          <w:trHeight w:val="225"/>
        </w:trPr>
        <w:tc>
          <w:tcPr>
            <w:tcW w:w="2210" w:type="dxa"/>
            <w:tcBorders>
              <w:top w:val="nil"/>
              <w:left w:val="nil"/>
              <w:bottom w:val="nil"/>
              <w:right w:val="nil"/>
            </w:tcBorders>
            <w:tcMar>
              <w:top w:w="0" w:type="dxa"/>
              <w:left w:w="100" w:type="dxa"/>
              <w:bottom w:w="0" w:type="dxa"/>
              <w:right w:w="100" w:type="dxa"/>
            </w:tcMar>
          </w:tcPr>
          <w:p w14:paraId="113F9EE6"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SPH</w:t>
            </w:r>
          </w:p>
        </w:tc>
        <w:tc>
          <w:tcPr>
            <w:tcW w:w="6429" w:type="dxa"/>
            <w:tcBorders>
              <w:top w:val="nil"/>
              <w:left w:val="nil"/>
              <w:bottom w:val="nil"/>
              <w:right w:val="nil"/>
            </w:tcBorders>
            <w:tcMar>
              <w:top w:w="0" w:type="dxa"/>
              <w:left w:w="100" w:type="dxa"/>
              <w:bottom w:w="0" w:type="dxa"/>
              <w:right w:w="100" w:type="dxa"/>
            </w:tcMar>
          </w:tcPr>
          <w:p w14:paraId="50BFA69C"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Social Participation for Health</w:t>
            </w:r>
          </w:p>
        </w:tc>
      </w:tr>
      <w:tr w:rsidR="00D04F94" w:rsidRPr="00C225BE" w14:paraId="7A06387F" w14:textId="77777777">
        <w:trPr>
          <w:trHeight w:val="225"/>
        </w:trPr>
        <w:tc>
          <w:tcPr>
            <w:tcW w:w="2210" w:type="dxa"/>
            <w:tcBorders>
              <w:top w:val="nil"/>
              <w:left w:val="nil"/>
              <w:bottom w:val="nil"/>
              <w:right w:val="nil"/>
            </w:tcBorders>
            <w:tcMar>
              <w:top w:w="0" w:type="dxa"/>
              <w:left w:w="100" w:type="dxa"/>
              <w:bottom w:w="0" w:type="dxa"/>
              <w:right w:w="100" w:type="dxa"/>
            </w:tcMar>
          </w:tcPr>
          <w:p w14:paraId="167F74AB"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lastRenderedPageBreak/>
              <w:t>SPHERE</w:t>
            </w:r>
          </w:p>
        </w:tc>
        <w:tc>
          <w:tcPr>
            <w:tcW w:w="6429" w:type="dxa"/>
            <w:tcBorders>
              <w:top w:val="nil"/>
              <w:left w:val="nil"/>
              <w:bottom w:val="nil"/>
              <w:right w:val="nil"/>
            </w:tcBorders>
            <w:tcMar>
              <w:top w:w="0" w:type="dxa"/>
              <w:left w:w="100" w:type="dxa"/>
              <w:bottom w:w="0" w:type="dxa"/>
              <w:right w:w="100" w:type="dxa"/>
            </w:tcMar>
          </w:tcPr>
          <w:p w14:paraId="32AB8B27"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Social Participation for Health: Engagement, Research, and Empowerment</w:t>
            </w:r>
          </w:p>
        </w:tc>
      </w:tr>
      <w:tr w:rsidR="00D04F94" w:rsidRPr="00C225BE" w14:paraId="5510D4A8" w14:textId="77777777">
        <w:trPr>
          <w:trHeight w:val="225"/>
        </w:trPr>
        <w:tc>
          <w:tcPr>
            <w:tcW w:w="2210" w:type="dxa"/>
            <w:tcBorders>
              <w:top w:val="nil"/>
              <w:left w:val="nil"/>
              <w:bottom w:val="nil"/>
              <w:right w:val="nil"/>
            </w:tcBorders>
            <w:tcMar>
              <w:top w:w="0" w:type="dxa"/>
              <w:left w:w="100" w:type="dxa"/>
              <w:bottom w:w="0" w:type="dxa"/>
              <w:right w:w="100" w:type="dxa"/>
            </w:tcMar>
          </w:tcPr>
          <w:p w14:paraId="5BB25E77" w14:textId="77777777" w:rsidR="00D04F94" w:rsidRPr="00C225BE" w:rsidRDefault="00000000">
            <w:pPr>
              <w:spacing w:after="0"/>
              <w:rPr>
                <w:rFonts w:asciiTheme="minorHAnsi" w:hAnsiTheme="minorHAnsi"/>
                <w:sz w:val="24"/>
                <w:szCs w:val="24"/>
              </w:rPr>
            </w:pPr>
            <w:proofErr w:type="spellStart"/>
            <w:r w:rsidRPr="00C225BE">
              <w:rPr>
                <w:rFonts w:asciiTheme="minorHAnsi" w:hAnsiTheme="minorHAnsi"/>
                <w:sz w:val="24"/>
                <w:szCs w:val="24"/>
              </w:rPr>
              <w:t>ToC</w:t>
            </w:r>
            <w:proofErr w:type="spellEnd"/>
          </w:p>
        </w:tc>
        <w:tc>
          <w:tcPr>
            <w:tcW w:w="6429" w:type="dxa"/>
            <w:tcBorders>
              <w:top w:val="nil"/>
              <w:left w:val="nil"/>
              <w:bottom w:val="nil"/>
              <w:right w:val="nil"/>
            </w:tcBorders>
            <w:tcMar>
              <w:top w:w="0" w:type="dxa"/>
              <w:left w:w="100" w:type="dxa"/>
              <w:bottom w:w="0" w:type="dxa"/>
              <w:right w:w="100" w:type="dxa"/>
            </w:tcMar>
          </w:tcPr>
          <w:p w14:paraId="64DEDEA9"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Theory of Change</w:t>
            </w:r>
          </w:p>
        </w:tc>
      </w:tr>
      <w:tr w:rsidR="00D04F94" w:rsidRPr="00C225BE" w14:paraId="4DA62FA0" w14:textId="77777777">
        <w:trPr>
          <w:trHeight w:val="225"/>
        </w:trPr>
        <w:tc>
          <w:tcPr>
            <w:tcW w:w="2210" w:type="dxa"/>
            <w:tcBorders>
              <w:top w:val="nil"/>
              <w:left w:val="nil"/>
              <w:bottom w:val="nil"/>
              <w:right w:val="nil"/>
            </w:tcBorders>
            <w:tcMar>
              <w:top w:w="0" w:type="dxa"/>
              <w:left w:w="100" w:type="dxa"/>
              <w:bottom w:w="0" w:type="dxa"/>
              <w:right w:w="100" w:type="dxa"/>
            </w:tcMar>
          </w:tcPr>
          <w:p w14:paraId="01BB1404" w14:textId="77777777" w:rsidR="00D04F94" w:rsidRPr="00C225BE" w:rsidRDefault="00000000">
            <w:pPr>
              <w:spacing w:after="0"/>
              <w:rPr>
                <w:rFonts w:asciiTheme="minorHAnsi" w:hAnsiTheme="minorHAnsi"/>
                <w:sz w:val="24"/>
                <w:szCs w:val="24"/>
              </w:rPr>
            </w:pPr>
            <w:proofErr w:type="spellStart"/>
            <w:r w:rsidRPr="00C225BE">
              <w:rPr>
                <w:rFonts w:asciiTheme="minorHAnsi" w:hAnsiTheme="minorHAnsi"/>
                <w:sz w:val="24"/>
                <w:szCs w:val="24"/>
              </w:rPr>
              <w:t>ToT</w:t>
            </w:r>
            <w:proofErr w:type="spellEnd"/>
          </w:p>
        </w:tc>
        <w:tc>
          <w:tcPr>
            <w:tcW w:w="6429" w:type="dxa"/>
            <w:tcBorders>
              <w:top w:val="nil"/>
              <w:left w:val="nil"/>
              <w:bottom w:val="nil"/>
              <w:right w:val="nil"/>
            </w:tcBorders>
            <w:tcMar>
              <w:top w:w="0" w:type="dxa"/>
              <w:left w:w="100" w:type="dxa"/>
              <w:bottom w:w="0" w:type="dxa"/>
              <w:right w:w="100" w:type="dxa"/>
            </w:tcMar>
          </w:tcPr>
          <w:p w14:paraId="00FB8EE9"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Trainer of Trainers</w:t>
            </w:r>
          </w:p>
        </w:tc>
      </w:tr>
      <w:tr w:rsidR="00D04F94" w:rsidRPr="00C225BE" w14:paraId="0CA2EBBF" w14:textId="77777777">
        <w:trPr>
          <w:trHeight w:val="225"/>
        </w:trPr>
        <w:tc>
          <w:tcPr>
            <w:tcW w:w="2210" w:type="dxa"/>
            <w:tcBorders>
              <w:top w:val="nil"/>
              <w:left w:val="nil"/>
              <w:bottom w:val="nil"/>
              <w:right w:val="nil"/>
            </w:tcBorders>
            <w:tcMar>
              <w:top w:w="0" w:type="dxa"/>
              <w:left w:w="100" w:type="dxa"/>
              <w:bottom w:w="0" w:type="dxa"/>
              <w:right w:w="100" w:type="dxa"/>
            </w:tcMar>
          </w:tcPr>
          <w:p w14:paraId="7B7DF9B0"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UHC</w:t>
            </w:r>
          </w:p>
        </w:tc>
        <w:tc>
          <w:tcPr>
            <w:tcW w:w="6429" w:type="dxa"/>
            <w:tcBorders>
              <w:top w:val="nil"/>
              <w:left w:val="nil"/>
              <w:bottom w:val="nil"/>
              <w:right w:val="nil"/>
            </w:tcBorders>
            <w:tcMar>
              <w:top w:w="0" w:type="dxa"/>
              <w:left w:w="100" w:type="dxa"/>
              <w:bottom w:w="0" w:type="dxa"/>
              <w:right w:w="100" w:type="dxa"/>
            </w:tcMar>
          </w:tcPr>
          <w:p w14:paraId="2AE0C99A"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Universal Health Coverage</w:t>
            </w:r>
          </w:p>
        </w:tc>
      </w:tr>
      <w:tr w:rsidR="00D04F94" w:rsidRPr="00C225BE" w14:paraId="34AE8E78" w14:textId="77777777">
        <w:trPr>
          <w:trHeight w:val="225"/>
        </w:trPr>
        <w:tc>
          <w:tcPr>
            <w:tcW w:w="2210" w:type="dxa"/>
            <w:tcBorders>
              <w:top w:val="nil"/>
              <w:left w:val="nil"/>
              <w:bottom w:val="nil"/>
              <w:right w:val="nil"/>
            </w:tcBorders>
            <w:tcMar>
              <w:top w:w="0" w:type="dxa"/>
              <w:left w:w="100" w:type="dxa"/>
              <w:bottom w:w="0" w:type="dxa"/>
              <w:right w:w="100" w:type="dxa"/>
            </w:tcMar>
          </w:tcPr>
          <w:p w14:paraId="613AA6D9"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WHA</w:t>
            </w:r>
          </w:p>
        </w:tc>
        <w:tc>
          <w:tcPr>
            <w:tcW w:w="6429" w:type="dxa"/>
            <w:tcBorders>
              <w:top w:val="nil"/>
              <w:left w:val="nil"/>
              <w:bottom w:val="nil"/>
              <w:right w:val="nil"/>
            </w:tcBorders>
            <w:tcMar>
              <w:top w:w="0" w:type="dxa"/>
              <w:left w:w="100" w:type="dxa"/>
              <w:bottom w:w="0" w:type="dxa"/>
              <w:right w:w="100" w:type="dxa"/>
            </w:tcMar>
          </w:tcPr>
          <w:p w14:paraId="221FAFF8" w14:textId="77777777" w:rsidR="00D04F94" w:rsidRPr="00C225BE" w:rsidRDefault="00000000">
            <w:pPr>
              <w:spacing w:after="0"/>
              <w:rPr>
                <w:rFonts w:asciiTheme="minorHAnsi" w:hAnsiTheme="minorHAnsi"/>
                <w:sz w:val="24"/>
                <w:szCs w:val="24"/>
              </w:rPr>
            </w:pPr>
            <w:r w:rsidRPr="00C225BE">
              <w:rPr>
                <w:rFonts w:asciiTheme="minorHAnsi" w:hAnsiTheme="minorHAnsi"/>
                <w:sz w:val="24"/>
                <w:szCs w:val="24"/>
              </w:rPr>
              <w:t>World Health Assembly</w:t>
            </w:r>
          </w:p>
        </w:tc>
      </w:tr>
    </w:tbl>
    <w:p w14:paraId="279C4F1D" w14:textId="77777777" w:rsidR="00D04F94" w:rsidRPr="00C225BE" w:rsidRDefault="00D04F94">
      <w:pPr>
        <w:rPr>
          <w:rFonts w:asciiTheme="minorHAnsi" w:hAnsiTheme="minorHAnsi"/>
          <w:sz w:val="24"/>
          <w:szCs w:val="24"/>
        </w:rPr>
      </w:pPr>
    </w:p>
    <w:p w14:paraId="3293C3E2" w14:textId="77777777" w:rsidR="00D04F94" w:rsidRPr="00C225BE" w:rsidRDefault="00D04F94">
      <w:pPr>
        <w:rPr>
          <w:rFonts w:asciiTheme="minorHAnsi" w:hAnsiTheme="minorHAnsi"/>
          <w:sz w:val="24"/>
          <w:szCs w:val="24"/>
        </w:rPr>
      </w:pPr>
    </w:p>
    <w:p w14:paraId="69CE7F5A" w14:textId="77777777" w:rsidR="00D04F94" w:rsidRPr="00C225BE" w:rsidRDefault="00D04F94">
      <w:pPr>
        <w:rPr>
          <w:rFonts w:asciiTheme="minorHAnsi" w:hAnsiTheme="minorHAnsi"/>
          <w:sz w:val="24"/>
          <w:szCs w:val="24"/>
        </w:rPr>
      </w:pPr>
    </w:p>
    <w:p w14:paraId="31F8A020" w14:textId="77777777" w:rsidR="00D04F94" w:rsidRPr="00C225BE" w:rsidRDefault="00000000" w:rsidP="00D2189C">
      <w:pPr>
        <w:pStyle w:val="Heading1"/>
        <w:rPr>
          <w:rFonts w:asciiTheme="minorHAnsi" w:hAnsiTheme="minorHAnsi"/>
          <w:sz w:val="24"/>
          <w:szCs w:val="24"/>
        </w:rPr>
      </w:pPr>
      <w:bookmarkStart w:id="2" w:name="_Toc215947138"/>
      <w:r w:rsidRPr="00C225BE">
        <w:rPr>
          <w:rFonts w:asciiTheme="minorHAnsi" w:hAnsiTheme="minorHAnsi"/>
          <w:sz w:val="24"/>
          <w:szCs w:val="24"/>
        </w:rPr>
        <w:t>4. Executive Summary</w:t>
      </w:r>
      <w:bookmarkEnd w:id="2"/>
    </w:p>
    <w:p w14:paraId="2A23ABD7" w14:textId="77777777" w:rsidR="00D04F94" w:rsidRPr="00C225BE" w:rsidRDefault="00000000" w:rsidP="00D2189C">
      <w:pPr>
        <w:jc w:val="both"/>
        <w:rPr>
          <w:rFonts w:asciiTheme="minorHAnsi" w:eastAsia="Times New Roman" w:hAnsiTheme="minorHAnsi" w:cs="Times New Roman"/>
          <w:sz w:val="24"/>
          <w:szCs w:val="24"/>
        </w:rPr>
      </w:pPr>
      <w:r w:rsidRPr="00C225BE">
        <w:rPr>
          <w:rFonts w:asciiTheme="minorHAnsi" w:hAnsiTheme="minorHAnsi"/>
          <w:sz w:val="24"/>
          <w:szCs w:val="24"/>
        </w:rPr>
        <w:t xml:space="preserve"> </w:t>
      </w:r>
      <w:r w:rsidRPr="00C225BE">
        <w:rPr>
          <w:rFonts w:asciiTheme="minorHAnsi" w:eastAsia="Times New Roman" w:hAnsiTheme="minorHAnsi" w:cs="Times New Roman"/>
          <w:sz w:val="24"/>
          <w:szCs w:val="24"/>
        </w:rPr>
        <w:t xml:space="preserve">The Social Participation for Health Engagement, Research and Empowerment (SPHERE) project in Kenya was implemented by the Health NGO Network (HENNET) </w:t>
      </w:r>
      <w:r w:rsidR="00CF01FE" w:rsidRPr="00C225BE">
        <w:rPr>
          <w:rFonts w:asciiTheme="minorHAnsi" w:eastAsia="Times New Roman" w:hAnsiTheme="minorHAnsi" w:cs="Times New Roman"/>
          <w:sz w:val="24"/>
          <w:szCs w:val="24"/>
        </w:rPr>
        <w:t xml:space="preserve">as the fund manager and AIHD as the research lead through financing from </w:t>
      </w:r>
      <w:r w:rsidRPr="00C225BE">
        <w:rPr>
          <w:rFonts w:asciiTheme="minorHAnsi" w:eastAsia="Times New Roman" w:hAnsiTheme="minorHAnsi" w:cs="Times New Roman"/>
          <w:sz w:val="24"/>
          <w:szCs w:val="24"/>
        </w:rPr>
        <w:t>Management Sciences for Health (MSH). Over a two-year period ending June 2025, the project sought to strengthen meaningful community and civil society engagement in health governance as a core driver of Kenya’s Universal Health Coverage (UHC) reforms. Anchored in rigorous research led by the African Institute for Health &amp; Development (AIHD), the project operated at the intersection of evidence generation, capacity strengthening, and policy advocacy at both county and national levels, during a period marked by the transition from the National Health Insurance Fund (NHIF) to the Social Health Authority (SHA) under the Social Health Insurance Act (2023).</w:t>
      </w:r>
    </w:p>
    <w:p w14:paraId="35842422"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project’s design was informed by qualitative research conducted in</w:t>
      </w:r>
      <w:r w:rsidR="00CF01FE" w:rsidRPr="00C225BE">
        <w:rPr>
          <w:rFonts w:asciiTheme="minorHAnsi" w:eastAsia="Times New Roman" w:hAnsiTheme="minorHAnsi" w:cs="Times New Roman"/>
          <w:sz w:val="24"/>
          <w:szCs w:val="24"/>
        </w:rPr>
        <w:t xml:space="preserve"> 2 out of the 4 Counties where the republic of Kenya had piloted UHC interventions:</w:t>
      </w:r>
      <w:r w:rsidRPr="00C225BE">
        <w:rPr>
          <w:rFonts w:asciiTheme="minorHAnsi" w:eastAsia="Times New Roman" w:hAnsiTheme="minorHAnsi" w:cs="Times New Roman"/>
          <w:sz w:val="24"/>
          <w:szCs w:val="24"/>
        </w:rPr>
        <w:t xml:space="preserve"> </w:t>
      </w:r>
      <w:proofErr w:type="spellStart"/>
      <w:r w:rsidRPr="00C225BE">
        <w:rPr>
          <w:rFonts w:asciiTheme="minorHAnsi" w:eastAsia="Times New Roman" w:hAnsiTheme="minorHAnsi" w:cs="Times New Roman"/>
          <w:sz w:val="24"/>
          <w:szCs w:val="24"/>
        </w:rPr>
        <w:t>Isiolo</w:t>
      </w:r>
      <w:proofErr w:type="spellEnd"/>
      <w:r w:rsidRPr="00C225BE">
        <w:rPr>
          <w:rFonts w:asciiTheme="minorHAnsi" w:eastAsia="Times New Roman" w:hAnsiTheme="minorHAnsi" w:cs="Times New Roman"/>
          <w:sz w:val="24"/>
          <w:szCs w:val="24"/>
        </w:rPr>
        <w:t xml:space="preserve"> and Kisumu counties, which examined CSO engagement in UHC implementation and the lived experiences of communities in accessing services. The study, approved by NACOSTI and AMREF, involved 33 Key Informant Interviews and two Focus Group Discussions and documented both progress and persistent gaps. While UHC investments had expanded specialized services, strengthened community health structures, and improved digitalization, serious challenges remained, including high maternal mortality (e.g. 790 per 100,000 live births in </w:t>
      </w:r>
      <w:proofErr w:type="spellStart"/>
      <w:r w:rsidRPr="00C225BE">
        <w:rPr>
          <w:rFonts w:asciiTheme="minorHAnsi" w:eastAsia="Times New Roman" w:hAnsiTheme="minorHAnsi" w:cs="Times New Roman"/>
          <w:sz w:val="24"/>
          <w:szCs w:val="24"/>
        </w:rPr>
        <w:t>Isiolo</w:t>
      </w:r>
      <w:proofErr w:type="spellEnd"/>
      <w:r w:rsidRPr="00C225BE">
        <w:rPr>
          <w:rFonts w:asciiTheme="minorHAnsi" w:eastAsia="Times New Roman" w:hAnsiTheme="minorHAnsi" w:cs="Times New Roman"/>
          <w:sz w:val="24"/>
          <w:szCs w:val="24"/>
        </w:rPr>
        <w:t xml:space="preserve">), recurrent stockouts, long distances to facilities, high out-of-pocket expenditures, fragmented financing, and inconsistent public participation. CSOs played vital roles in sensitization, registration, advocacy, and community mobilization, yet their contributions were often ad hoc, under-resourced, and weakly integrated into formal decision-making processes. These findings underscored the need for structured, evidence-driven </w:t>
      </w:r>
      <w:r w:rsidRPr="00C225BE">
        <w:rPr>
          <w:rFonts w:asciiTheme="minorHAnsi" w:eastAsia="Times New Roman" w:hAnsiTheme="minorHAnsi" w:cs="Times New Roman"/>
          <w:sz w:val="24"/>
          <w:szCs w:val="24"/>
        </w:rPr>
        <w:lastRenderedPageBreak/>
        <w:t>social participation, shaping the SPHERE Theory of Change and guiding subsequent interventions.</w:t>
      </w:r>
    </w:p>
    <w:p w14:paraId="296AFBB4"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SPHERE project pursued four interrelated objectives: (</w:t>
      </w:r>
      <w:proofErr w:type="spellStart"/>
      <w:r w:rsidRPr="00C225BE">
        <w:rPr>
          <w:rFonts w:asciiTheme="minorHAnsi" w:eastAsia="Times New Roman" w:hAnsiTheme="minorHAnsi" w:cs="Times New Roman"/>
          <w:sz w:val="24"/>
          <w:szCs w:val="24"/>
        </w:rPr>
        <w:t>i</w:t>
      </w:r>
      <w:proofErr w:type="spellEnd"/>
      <w:r w:rsidRPr="00C225BE">
        <w:rPr>
          <w:rFonts w:asciiTheme="minorHAnsi" w:eastAsia="Times New Roman" w:hAnsiTheme="minorHAnsi" w:cs="Times New Roman"/>
          <w:sz w:val="24"/>
          <w:szCs w:val="24"/>
        </w:rPr>
        <w:t>) assessing past and current efforts to implement UHC/NHIF reforms; (ii) examining CSO engagement in UHC/NHIF/SHA reforms; (iii) developing an advocacy agenda and engagement strategy for CSOs on UHC; and (iv) enhancing government commitment to UHC rollout. To achieve these, the project employed a four-phased implementation approach. Phase 1 focused on scoping and evidence generation through the AIHD-led research and review of policies and participation practices. Phase 2 translated this evidence into a national advocacy agenda and a structured capacity-building model, including SMART advocacy workshops and multisectoral dialogues. Phase 3 implemented the research findings through coordinated advocacy at national and county levels, with targeted engagement of governors, county executives, assemblies, national ministries, and SHA structures. Phase 4 emphasized evaluation, learning, and documentation, culminating in the National Social Participation for Health Conference in July 2025 under the theme “Navigating Citizen Accountability in a Shrinking Fiscal Space.”</w:t>
      </w:r>
    </w:p>
    <w:p w14:paraId="0846E995"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Capacity strengthening emerged as one of the most transformative elements of the project. Through a competitive process, 17 Trainers of Trainers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were selected from HENNET’s membership and trained in a three-phase cycle covering Public Finance Management, budget analysis, </w:t>
      </w:r>
      <w:r w:rsidR="00CF01FE" w:rsidRPr="00C225BE">
        <w:rPr>
          <w:rFonts w:asciiTheme="minorHAnsi" w:eastAsia="Times New Roman" w:hAnsiTheme="minorHAnsi" w:cs="Times New Roman"/>
          <w:sz w:val="24"/>
          <w:szCs w:val="24"/>
        </w:rPr>
        <w:t xml:space="preserve">Health </w:t>
      </w:r>
      <w:r w:rsidRPr="00C225BE">
        <w:rPr>
          <w:rFonts w:asciiTheme="minorHAnsi" w:eastAsia="Times New Roman" w:hAnsiTheme="minorHAnsi" w:cs="Times New Roman"/>
          <w:sz w:val="24"/>
          <w:szCs w:val="24"/>
        </w:rPr>
        <w:t xml:space="preserve">reforms, and SMART advocacy. These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then cascaded the training to grassroots actors, resulting in 220 Community Champions being equipped with practical skills in budget tracking, policy analysis, and structured advocacy. Drawing from the research findings and community consultations, the champions co-developed eight county-specific SMART advocacy plans that articulated clear, evidence-based priorities aligned with county budget and planning cycles. This multi-tiered capacity-building approach significantly enhanced the ability of CSOs and communities in counties such as Kakamega, Kilifi, Kitui, Laikipia, Nairobi, </w:t>
      </w:r>
      <w:proofErr w:type="spellStart"/>
      <w:r w:rsidRPr="00C225BE">
        <w:rPr>
          <w:rFonts w:asciiTheme="minorHAnsi" w:eastAsia="Times New Roman" w:hAnsiTheme="minorHAnsi" w:cs="Times New Roman"/>
          <w:sz w:val="24"/>
          <w:szCs w:val="24"/>
        </w:rPr>
        <w:t>Isiolo</w:t>
      </w:r>
      <w:proofErr w:type="spellEnd"/>
      <w:r w:rsidRPr="00C225BE">
        <w:rPr>
          <w:rFonts w:asciiTheme="minorHAnsi" w:eastAsia="Times New Roman" w:hAnsiTheme="minorHAnsi" w:cs="Times New Roman"/>
          <w:sz w:val="24"/>
          <w:szCs w:val="24"/>
        </w:rPr>
        <w:t>, and Kisumu to engage meaningfully in public participation processes, County Budget and Economic Fora, and sector working groups.</w:t>
      </w:r>
    </w:p>
    <w:p w14:paraId="237BADA8"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project achieved measurable results in strengthening social participation for health and influencing resource allocation</w:t>
      </w:r>
      <w:r w:rsidR="00CF01FE" w:rsidRPr="00C225BE">
        <w:rPr>
          <w:rFonts w:asciiTheme="minorHAnsi" w:eastAsia="Times New Roman" w:hAnsiTheme="minorHAnsi" w:cs="Times New Roman"/>
          <w:sz w:val="24"/>
          <w:szCs w:val="24"/>
        </w:rPr>
        <w:t xml:space="preserve"> towards health at national and County level</w:t>
      </w:r>
      <w:r w:rsidRPr="00C225BE">
        <w:rPr>
          <w:rFonts w:asciiTheme="minorHAnsi" w:eastAsia="Times New Roman" w:hAnsiTheme="minorHAnsi" w:cs="Times New Roman"/>
          <w:sz w:val="24"/>
          <w:szCs w:val="24"/>
        </w:rPr>
        <w:t>. HENNET facilitated extensive multi-stakeholder consultations and technical reviews that led to the adoption of the Kakamega County Public Participation Policy (2024)</w:t>
      </w:r>
      <w:r w:rsidR="00D2189C" w:rsidRPr="00C225BE">
        <w:rPr>
          <w:rFonts w:asciiTheme="minorHAnsi" w:eastAsia="Times New Roman" w:hAnsiTheme="minorHAnsi" w:cs="Times New Roman"/>
          <w:sz w:val="24"/>
          <w:szCs w:val="24"/>
        </w:rPr>
        <w:t xml:space="preserve"> </w:t>
      </w:r>
      <w:r w:rsidRPr="00C225BE">
        <w:rPr>
          <w:rFonts w:asciiTheme="minorHAnsi" w:eastAsia="Times New Roman" w:hAnsiTheme="minorHAnsi" w:cs="Times New Roman"/>
          <w:sz w:val="24"/>
          <w:szCs w:val="24"/>
        </w:rPr>
        <w:t xml:space="preserve">a system-level milestone that moves participation from a voluntary practice to a legally enforceable governance architecture. The policy institutionalizes stakeholder mapping, documentation of citizen input, feedback loops, and accountability reporting across planning, budgeting, and performance review cycles. Kakamega also established a County SRHR Taskforce anchored in the Persons with </w:t>
      </w:r>
      <w:r w:rsidRPr="00C225BE">
        <w:rPr>
          <w:rFonts w:asciiTheme="minorHAnsi" w:eastAsia="Times New Roman" w:hAnsiTheme="minorHAnsi" w:cs="Times New Roman"/>
          <w:sz w:val="24"/>
          <w:szCs w:val="24"/>
        </w:rPr>
        <w:lastRenderedPageBreak/>
        <w:t>Disabilities Act (2022), creating an accountability structure for inclusive SRHR services for women with disabilities.</w:t>
      </w:r>
    </w:p>
    <w:p w14:paraId="5AC1C62B"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In Kilifi County, participatory budgeting dialogues and community scorecard processes informed the FY2025/26 Program-Based Budget, securing </w:t>
      </w:r>
      <w:proofErr w:type="spellStart"/>
      <w:r w:rsidRPr="00C225BE">
        <w:rPr>
          <w:rFonts w:asciiTheme="minorHAnsi" w:eastAsia="Times New Roman" w:hAnsiTheme="minorHAnsi" w:cs="Times New Roman"/>
          <w:sz w:val="24"/>
          <w:szCs w:val="24"/>
        </w:rPr>
        <w:t>Ksh</w:t>
      </w:r>
      <w:proofErr w:type="spellEnd"/>
      <w:r w:rsidRPr="00C225BE">
        <w:rPr>
          <w:rFonts w:asciiTheme="minorHAnsi" w:eastAsia="Times New Roman" w:hAnsiTheme="minorHAnsi" w:cs="Times New Roman"/>
          <w:sz w:val="24"/>
          <w:szCs w:val="24"/>
        </w:rPr>
        <w:t xml:space="preserve"> 8 million for completion of </w:t>
      </w:r>
      <w:proofErr w:type="spellStart"/>
      <w:r w:rsidRPr="00C225BE">
        <w:rPr>
          <w:rFonts w:asciiTheme="minorHAnsi" w:eastAsia="Times New Roman" w:hAnsiTheme="minorHAnsi" w:cs="Times New Roman"/>
          <w:sz w:val="24"/>
          <w:szCs w:val="24"/>
        </w:rPr>
        <w:t>Pingilikani</w:t>
      </w:r>
      <w:proofErr w:type="spellEnd"/>
      <w:r w:rsidRPr="00C225BE">
        <w:rPr>
          <w:rFonts w:asciiTheme="minorHAnsi" w:eastAsia="Times New Roman" w:hAnsiTheme="minorHAnsi" w:cs="Times New Roman"/>
          <w:sz w:val="24"/>
          <w:szCs w:val="24"/>
        </w:rPr>
        <w:t xml:space="preserve"> Dispensary maternity wing, </w:t>
      </w:r>
      <w:proofErr w:type="spellStart"/>
      <w:r w:rsidRPr="00C225BE">
        <w:rPr>
          <w:rFonts w:asciiTheme="minorHAnsi" w:eastAsia="Times New Roman" w:hAnsiTheme="minorHAnsi" w:cs="Times New Roman"/>
          <w:sz w:val="24"/>
          <w:szCs w:val="24"/>
        </w:rPr>
        <w:t>Ksh</w:t>
      </w:r>
      <w:proofErr w:type="spellEnd"/>
      <w:r w:rsidRPr="00C225BE">
        <w:rPr>
          <w:rFonts w:asciiTheme="minorHAnsi" w:eastAsia="Times New Roman" w:hAnsiTheme="minorHAnsi" w:cs="Times New Roman"/>
          <w:sz w:val="24"/>
          <w:szCs w:val="24"/>
        </w:rPr>
        <w:t xml:space="preserve"> 2 million for completion of Milalani Dispensary, and operationalization of a CT scan at Kilifi County Referral Hospital. In Kitui County, structured citizen engagements contributed to the allocation of </w:t>
      </w:r>
      <w:proofErr w:type="spellStart"/>
      <w:r w:rsidRPr="00C225BE">
        <w:rPr>
          <w:rFonts w:asciiTheme="minorHAnsi" w:eastAsia="Times New Roman" w:hAnsiTheme="minorHAnsi" w:cs="Times New Roman"/>
          <w:sz w:val="24"/>
          <w:szCs w:val="24"/>
        </w:rPr>
        <w:t>Ksh</w:t>
      </w:r>
      <w:proofErr w:type="spellEnd"/>
      <w:r w:rsidRPr="00C225BE">
        <w:rPr>
          <w:rFonts w:asciiTheme="minorHAnsi" w:eastAsia="Times New Roman" w:hAnsiTheme="minorHAnsi" w:cs="Times New Roman"/>
          <w:sz w:val="24"/>
          <w:szCs w:val="24"/>
        </w:rPr>
        <w:t xml:space="preserve"> 416 million (10% of the county health budget) for pharmaceuticals and medical supplies, alongside investments in laboratory equipment for Kitui County Referral Hospital and Mwingi Level IV Hospital. In Laikipia County, disability-inclusive and youth-focused forums informed allocations of </w:t>
      </w:r>
      <w:proofErr w:type="spellStart"/>
      <w:r w:rsidRPr="00C225BE">
        <w:rPr>
          <w:rFonts w:asciiTheme="minorHAnsi" w:eastAsia="Times New Roman" w:hAnsiTheme="minorHAnsi" w:cs="Times New Roman"/>
          <w:sz w:val="24"/>
          <w:szCs w:val="24"/>
        </w:rPr>
        <w:t>Ksh</w:t>
      </w:r>
      <w:proofErr w:type="spellEnd"/>
      <w:r w:rsidRPr="00C225BE">
        <w:rPr>
          <w:rFonts w:asciiTheme="minorHAnsi" w:eastAsia="Times New Roman" w:hAnsiTheme="minorHAnsi" w:cs="Times New Roman"/>
          <w:sz w:val="24"/>
          <w:szCs w:val="24"/>
        </w:rPr>
        <w:t xml:space="preserve"> 400,000 for a Persons with Disabilities Program, </w:t>
      </w:r>
      <w:proofErr w:type="spellStart"/>
      <w:r w:rsidRPr="00C225BE">
        <w:rPr>
          <w:rFonts w:asciiTheme="minorHAnsi" w:eastAsia="Times New Roman" w:hAnsiTheme="minorHAnsi" w:cs="Times New Roman"/>
          <w:sz w:val="24"/>
          <w:szCs w:val="24"/>
        </w:rPr>
        <w:t>Ksh</w:t>
      </w:r>
      <w:proofErr w:type="spellEnd"/>
      <w:r w:rsidRPr="00C225BE">
        <w:rPr>
          <w:rFonts w:asciiTheme="minorHAnsi" w:eastAsia="Times New Roman" w:hAnsiTheme="minorHAnsi" w:cs="Times New Roman"/>
          <w:sz w:val="24"/>
          <w:szCs w:val="24"/>
        </w:rPr>
        <w:t xml:space="preserve"> 200,000 for youth mentorship and empowerment, procurement of a fully equipped ambulance with </w:t>
      </w:r>
      <w:proofErr w:type="spellStart"/>
      <w:r w:rsidRPr="00C225BE">
        <w:rPr>
          <w:rFonts w:asciiTheme="minorHAnsi" w:eastAsia="Times New Roman" w:hAnsiTheme="minorHAnsi" w:cs="Times New Roman"/>
          <w:sz w:val="24"/>
          <w:szCs w:val="24"/>
        </w:rPr>
        <w:t>Ksh</w:t>
      </w:r>
      <w:proofErr w:type="spellEnd"/>
      <w:r w:rsidRPr="00C225BE">
        <w:rPr>
          <w:rFonts w:asciiTheme="minorHAnsi" w:eastAsia="Times New Roman" w:hAnsiTheme="minorHAnsi" w:cs="Times New Roman"/>
          <w:sz w:val="24"/>
          <w:szCs w:val="24"/>
        </w:rPr>
        <w:t xml:space="preserve"> 9 million for fleet operations, and </w:t>
      </w:r>
      <w:proofErr w:type="spellStart"/>
      <w:r w:rsidRPr="00C225BE">
        <w:rPr>
          <w:rFonts w:asciiTheme="minorHAnsi" w:eastAsia="Times New Roman" w:hAnsiTheme="minorHAnsi" w:cs="Times New Roman"/>
          <w:sz w:val="24"/>
          <w:szCs w:val="24"/>
        </w:rPr>
        <w:t>Ksh</w:t>
      </w:r>
      <w:proofErr w:type="spellEnd"/>
      <w:r w:rsidRPr="00C225BE">
        <w:rPr>
          <w:rFonts w:asciiTheme="minorHAnsi" w:eastAsia="Times New Roman" w:hAnsiTheme="minorHAnsi" w:cs="Times New Roman"/>
          <w:sz w:val="24"/>
          <w:szCs w:val="24"/>
        </w:rPr>
        <w:t xml:space="preserve"> 36 million toward Community Health Promoter stipends and support. These county-level outcomes demonstrate how social participation can directly influence fiscal priorities, improve allocative efficiency, and strengthen equity and PHC performance.</w:t>
      </w:r>
    </w:p>
    <w:p w14:paraId="56DC4C0B"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At the national level, SPHERE significantly elevated civil society engagement in health governance. HENNET convened two national SHA sensitization and participation forums that reached more than 500 CSO representatives, strengthening sector readiness to engage with the new health financing architecture. The project supported the development and submission of evidence-based memoranda to Parliament, the National Treasury, and the Ministry of Health on UHC and SHA implementation. HENNET played a direct technical role in shaping the National Public Participation Bill led by the Attorney General’s Office, ensuring that structured, inclusive, and accountable participation mechanisms are embedded in law. SPHERE’s advocacy also contributed to the appointment of Dr. Mary Nyamongo and Dr. Gabriel to the SHA Benefits and Tariffs Advisory Board and HENNET’s inclusion in the National Health Financing Technical Working Group, institutionalizing civil society participation in high-level health financing decisions. </w:t>
      </w:r>
      <w:r w:rsidRPr="00C225BE">
        <w:rPr>
          <w:rFonts w:asciiTheme="minorHAnsi" w:eastAsia="Times New Roman" w:hAnsiTheme="minorHAnsi" w:cs="Times New Roman"/>
          <w:sz w:val="24"/>
          <w:szCs w:val="24"/>
          <w:highlight w:val="yellow"/>
        </w:rPr>
        <w:t xml:space="preserve">Globally, the project strengthened Kenya’s </w:t>
      </w:r>
      <w:commentRangeStart w:id="3"/>
      <w:r w:rsidRPr="00C225BE">
        <w:rPr>
          <w:rFonts w:asciiTheme="minorHAnsi" w:eastAsia="Times New Roman" w:hAnsiTheme="minorHAnsi" w:cs="Times New Roman"/>
          <w:sz w:val="24"/>
          <w:szCs w:val="24"/>
          <w:highlight w:val="yellow"/>
        </w:rPr>
        <w:t>contribution to the SPHERE consortium through journal-ready research products and active participation in WHA 2024 and the Health Systems Research (HSR) Conference in Nagasaki.</w:t>
      </w:r>
      <w:commentRangeEnd w:id="3"/>
      <w:r w:rsidR="00CF01FE" w:rsidRPr="00C225BE">
        <w:rPr>
          <w:rStyle w:val="CommentReference"/>
          <w:rFonts w:asciiTheme="minorHAnsi" w:hAnsiTheme="minorHAnsi"/>
          <w:sz w:val="24"/>
          <w:szCs w:val="24"/>
          <w:highlight w:val="yellow"/>
        </w:rPr>
        <w:commentReference w:id="3"/>
      </w:r>
    </w:p>
    <w:p w14:paraId="5C5E1577" w14:textId="193AA8A6"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project’s monitoring, learning, and adaptation systems enabled it to navigate a complex and shifting environment. The transition from NHIF</w:t>
      </w:r>
      <w:r w:rsidR="00CF01FE" w:rsidRPr="00C225BE">
        <w:rPr>
          <w:rFonts w:asciiTheme="minorHAnsi" w:eastAsia="Times New Roman" w:hAnsiTheme="minorHAnsi" w:cs="Times New Roman"/>
          <w:sz w:val="24"/>
          <w:szCs w:val="24"/>
        </w:rPr>
        <w:t xml:space="preserve"> ACT</w:t>
      </w:r>
      <w:r w:rsidRPr="00C225BE">
        <w:rPr>
          <w:rFonts w:asciiTheme="minorHAnsi" w:eastAsia="Times New Roman" w:hAnsiTheme="minorHAnsi" w:cs="Times New Roman"/>
          <w:sz w:val="24"/>
          <w:szCs w:val="24"/>
        </w:rPr>
        <w:t xml:space="preserve"> to SH</w:t>
      </w:r>
      <w:r w:rsidR="00CF01FE" w:rsidRPr="00C225BE">
        <w:rPr>
          <w:rFonts w:asciiTheme="minorHAnsi" w:eastAsia="Times New Roman" w:hAnsiTheme="minorHAnsi" w:cs="Times New Roman"/>
          <w:sz w:val="24"/>
          <w:szCs w:val="24"/>
        </w:rPr>
        <w:t>IF ACT which is implemented under the Social Health Authority (SHA) umbrella</w:t>
      </w:r>
      <w:r w:rsidRPr="00C225BE">
        <w:rPr>
          <w:rFonts w:asciiTheme="minorHAnsi" w:eastAsia="Times New Roman" w:hAnsiTheme="minorHAnsi" w:cs="Times New Roman"/>
          <w:sz w:val="24"/>
          <w:szCs w:val="24"/>
        </w:rPr>
        <w:t xml:space="preserve">, tightening fiscal conditions, inconsistent public participation structures, and persistent inequities posed significant challenges. HENNET responded by updating training content to align with SHA, advocating for social contracting mechanisms for CSOs, supporting the development of the Public Participation Bill, and piloting digital and hybrid </w:t>
      </w:r>
      <w:r w:rsidRPr="00C225BE">
        <w:rPr>
          <w:rFonts w:asciiTheme="minorHAnsi" w:eastAsia="Times New Roman" w:hAnsiTheme="minorHAnsi" w:cs="Times New Roman"/>
          <w:sz w:val="24"/>
          <w:szCs w:val="24"/>
        </w:rPr>
        <w:lastRenderedPageBreak/>
        <w:t>engagement modalities to broaden access to participation. Challenges related to inclusion of marginalized groups, political turnover, and resource competition were mitigated through multi-layered engagement, evidence-driven advocacy, and sustained capacity-building at both institutional and community levels.</w:t>
      </w:r>
    </w:p>
    <w:p w14:paraId="206A5D69" w14:textId="77777777" w:rsidR="00D04F94" w:rsidRPr="00C225BE" w:rsidRDefault="00000000">
      <w:pPr>
        <w:spacing w:after="0"/>
        <w:jc w:val="both"/>
        <w:rPr>
          <w:rFonts w:asciiTheme="minorHAnsi" w:hAnsiTheme="minorHAnsi"/>
          <w:sz w:val="24"/>
          <w:szCs w:val="24"/>
        </w:rPr>
      </w:pPr>
      <w:r w:rsidRPr="00C225BE">
        <w:rPr>
          <w:rFonts w:asciiTheme="minorHAnsi" w:eastAsia="Times New Roman" w:hAnsiTheme="minorHAnsi" w:cs="Times New Roman"/>
          <w:sz w:val="24"/>
          <w:szCs w:val="24"/>
        </w:rPr>
        <w:t>As the project concludes, it leaves behind strengthened institutional frameworks, empowered civil society actors, and a coordinated network of partners committed to advancing SPH as a central pillar of UHC. The foundation laid through this work positions HENNET to continue championing inclusive governance, deepening capacity-building efforts, and consolidating multi-sectoral partnerships. Looking ahead, priorities include fast-tracking enactment and operationalization of the Public Participation Bill, scaling digital participation tools, institutionalizing social contracting for CSOs, and ensuring that women, youth, persons with disabilities, and other marginalized groups maintain a substantive voice in health decision-making. The SPHERE project thus not only delivered on its contractual commitments but also contributed to a longer-term transformation of Kenya’s health governance landscape, supporting the country’s broader journey toward equitable, accountable, and people-</w:t>
      </w:r>
      <w:proofErr w:type="spellStart"/>
      <w:r w:rsidRPr="00C225BE">
        <w:rPr>
          <w:rFonts w:asciiTheme="minorHAnsi" w:eastAsia="Times New Roman" w:hAnsiTheme="minorHAnsi" w:cs="Times New Roman"/>
          <w:sz w:val="24"/>
          <w:szCs w:val="24"/>
        </w:rPr>
        <w:t>centred</w:t>
      </w:r>
      <w:proofErr w:type="spellEnd"/>
      <w:r w:rsidRPr="00C225BE">
        <w:rPr>
          <w:rFonts w:asciiTheme="minorHAnsi" w:eastAsia="Times New Roman" w:hAnsiTheme="minorHAnsi" w:cs="Times New Roman"/>
          <w:sz w:val="24"/>
          <w:szCs w:val="24"/>
        </w:rPr>
        <w:t xml:space="preserve"> Universal Health Coverage by 2030.</w:t>
      </w:r>
    </w:p>
    <w:p w14:paraId="2B8E3D31" w14:textId="77777777" w:rsidR="00D2189C" w:rsidRPr="00C225BE" w:rsidRDefault="00000000" w:rsidP="00D2189C">
      <w:pPr>
        <w:pStyle w:val="Heading1"/>
        <w:rPr>
          <w:rFonts w:asciiTheme="minorHAnsi" w:hAnsiTheme="minorHAnsi"/>
          <w:sz w:val="24"/>
          <w:szCs w:val="24"/>
        </w:rPr>
      </w:pPr>
      <w:bookmarkStart w:id="4" w:name="_Toc215947139"/>
      <w:r w:rsidRPr="00C225BE">
        <w:rPr>
          <w:rFonts w:asciiTheme="minorHAnsi" w:hAnsiTheme="minorHAnsi"/>
          <w:sz w:val="24"/>
          <w:szCs w:val="24"/>
        </w:rPr>
        <w:t>5. Project Overview</w:t>
      </w:r>
      <w:bookmarkEnd w:id="4"/>
    </w:p>
    <w:p w14:paraId="0ACE558C" w14:textId="77777777" w:rsidR="00D04F94" w:rsidRPr="00C225BE" w:rsidRDefault="00000000" w:rsidP="00D2189C">
      <w:pPr>
        <w:pStyle w:val="Heading2"/>
        <w:rPr>
          <w:rFonts w:asciiTheme="minorHAnsi" w:hAnsiTheme="minorHAnsi"/>
          <w:sz w:val="24"/>
          <w:szCs w:val="24"/>
        </w:rPr>
      </w:pPr>
      <w:bookmarkStart w:id="5" w:name="_Toc215947140"/>
      <w:r w:rsidRPr="00C225BE">
        <w:rPr>
          <w:rFonts w:asciiTheme="minorHAnsi" w:hAnsiTheme="minorHAnsi"/>
          <w:sz w:val="24"/>
          <w:szCs w:val="24"/>
        </w:rPr>
        <w:t>5.1 Background</w:t>
      </w:r>
      <w:bookmarkEnd w:id="5"/>
    </w:p>
    <w:p w14:paraId="28B4A00C" w14:textId="6B4C1F4B" w:rsidR="00D04F94" w:rsidRPr="00C225BE" w:rsidRDefault="00000000" w:rsidP="00E870E1">
      <w:pPr>
        <w:spacing w:after="0"/>
        <w:jc w:val="both"/>
        <w:rPr>
          <w:rFonts w:asciiTheme="minorHAnsi" w:hAnsiTheme="minorHAnsi"/>
          <w:b/>
          <w:bCs/>
          <w:sz w:val="24"/>
          <w:szCs w:val="24"/>
        </w:rPr>
      </w:pPr>
      <w:r w:rsidRPr="00C225BE">
        <w:rPr>
          <w:rFonts w:asciiTheme="minorHAnsi" w:hAnsiTheme="minorHAnsi"/>
          <w:sz w:val="24"/>
          <w:szCs w:val="24"/>
        </w:rPr>
        <w:t xml:space="preserve">Kenya’s ongoing health sector reforms particularly the transition toward Universal Health Coverage (UHC) </w:t>
      </w:r>
      <w:r w:rsidR="002106CD" w:rsidRPr="00C225BE">
        <w:rPr>
          <w:rFonts w:asciiTheme="minorHAnsi" w:hAnsiTheme="minorHAnsi"/>
          <w:sz w:val="24"/>
          <w:szCs w:val="24"/>
        </w:rPr>
        <w:t>through</w:t>
      </w:r>
      <w:r w:rsidRPr="00C225BE">
        <w:rPr>
          <w:rFonts w:asciiTheme="minorHAnsi" w:hAnsiTheme="minorHAnsi"/>
          <w:sz w:val="24"/>
          <w:szCs w:val="24"/>
        </w:rPr>
        <w:t xml:space="preserve"> strengthening of Primary Health Care (PHC) have placed renewed emphasis on structured community engagement and civil society participation as core enablers of health system performance. Yet, despite substantial political commitment, gaps persist in financing, human resources, governance, and accountability mechanisms that undermine equitable access to quality services. These realities are clearly illustrated in the multi-county research conducted by the African Institute for Health &amp; Development (AIHD) in partnership with HENNET, which assessed CSO engagement in UHC reforms in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and Kisumu counties. The study, executed through qualitative inquiry involving key informant interviews, consultative forums, and CSO mapping, revealed substantial heterogeneity in UHC implementation outcomes, community experiences, and levels of civil society engagement.</w:t>
      </w:r>
    </w:p>
    <w:p w14:paraId="346CAB13" w14:textId="77777777" w:rsidR="00D04F94" w:rsidRPr="00C225BE" w:rsidRDefault="00000000" w:rsidP="00E870E1">
      <w:pPr>
        <w:spacing w:after="0"/>
        <w:jc w:val="both"/>
        <w:rPr>
          <w:rFonts w:asciiTheme="minorHAnsi" w:hAnsiTheme="minorHAnsi"/>
          <w:b/>
          <w:bCs/>
          <w:sz w:val="24"/>
          <w:szCs w:val="24"/>
        </w:rPr>
      </w:pPr>
      <w:r w:rsidRPr="00C225BE">
        <w:rPr>
          <w:rFonts w:asciiTheme="minorHAnsi" w:hAnsiTheme="minorHAnsi"/>
          <w:sz w:val="24"/>
          <w:szCs w:val="24"/>
        </w:rPr>
        <w:t xml:space="preserve">The AIHD research documented that while UHC catalyzed improvements such as increased availability of specialized services, expanded community health units, digitalization of registration processes, and stronger political goodwill, persistent barriers continued to compromise service delivery. In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County, for example, maternal mortality remained critically high at 790 per 100,000 live births, with communities reporting recurrent stockouts, long distances to facilities exceeding 30 </w:t>
      </w:r>
      <w:proofErr w:type="spellStart"/>
      <w:r w:rsidRPr="00C225BE">
        <w:rPr>
          <w:rFonts w:asciiTheme="minorHAnsi" w:hAnsiTheme="minorHAnsi"/>
          <w:sz w:val="24"/>
          <w:szCs w:val="24"/>
        </w:rPr>
        <w:lastRenderedPageBreak/>
        <w:t>kilometres</w:t>
      </w:r>
      <w:proofErr w:type="spellEnd"/>
      <w:r w:rsidRPr="00C225BE">
        <w:rPr>
          <w:rFonts w:asciiTheme="minorHAnsi" w:hAnsiTheme="minorHAnsi"/>
          <w:sz w:val="24"/>
          <w:szCs w:val="24"/>
        </w:rPr>
        <w:t>, and high out-of-pocket payments for medicines and transport. Kisumu County demonstrated similar challenges, compounded by high HIV prevalence, inadequate community health coverage, and fragmented financing flows. CSOs in both counties played vital roles in sensitization, household identification, registration, advocacy, and mobilizing community voices, yet their engagement remained inconsistent due to unclear selection criteria, limited resources, and insufficient coordination with county governments. These findings underscore the necessity of structured, evidence-driven social participation mechanisms, an imperative that the SPHERE project directly responds to.</w:t>
      </w:r>
    </w:p>
    <w:p w14:paraId="47EBD304" w14:textId="22BA9811" w:rsidR="00D04F94" w:rsidRPr="00C225BE" w:rsidRDefault="00000000" w:rsidP="00E870E1">
      <w:pPr>
        <w:spacing w:after="0"/>
        <w:jc w:val="both"/>
        <w:rPr>
          <w:rFonts w:asciiTheme="minorHAnsi" w:hAnsiTheme="minorHAnsi"/>
          <w:b/>
          <w:bCs/>
          <w:sz w:val="24"/>
          <w:szCs w:val="24"/>
        </w:rPr>
      </w:pPr>
      <w:r w:rsidRPr="00C225BE">
        <w:rPr>
          <w:rFonts w:asciiTheme="minorHAnsi" w:hAnsiTheme="minorHAnsi"/>
          <w:sz w:val="24"/>
          <w:szCs w:val="24"/>
        </w:rPr>
        <w:t>The SPHERE project operates at the nexus of research, advocacy, and community engagement, with HENNET serving as the</w:t>
      </w:r>
      <w:r w:rsidR="002106CD" w:rsidRPr="00C225BE">
        <w:rPr>
          <w:rFonts w:asciiTheme="minorHAnsi" w:hAnsiTheme="minorHAnsi"/>
          <w:sz w:val="24"/>
          <w:szCs w:val="24"/>
        </w:rPr>
        <w:t xml:space="preserve"> health</w:t>
      </w:r>
      <w:r w:rsidRPr="00C225BE">
        <w:rPr>
          <w:rFonts w:asciiTheme="minorHAnsi" w:hAnsiTheme="minorHAnsi"/>
          <w:sz w:val="24"/>
          <w:szCs w:val="24"/>
        </w:rPr>
        <w:t xml:space="preserve"> national convener </w:t>
      </w:r>
      <w:r w:rsidR="002106CD" w:rsidRPr="00C225BE">
        <w:rPr>
          <w:rFonts w:asciiTheme="minorHAnsi" w:hAnsiTheme="minorHAnsi"/>
          <w:sz w:val="24"/>
          <w:szCs w:val="24"/>
        </w:rPr>
        <w:t>and the SPHERE</w:t>
      </w:r>
      <w:r w:rsidRPr="00C225BE">
        <w:rPr>
          <w:rFonts w:asciiTheme="minorHAnsi" w:hAnsiTheme="minorHAnsi"/>
          <w:sz w:val="24"/>
          <w:szCs w:val="24"/>
        </w:rPr>
        <w:t xml:space="preserve"> implementing partner. As Kenya’s largest health civil society network comprising over 112 organizations across all 47 counties, HENNET leveraged the evidence generated through the AIHD study findings and Kenya’s health reforms, to develop a comprehensive advocacy plan aimed at strengthening CSO capacity in skills development and domestic financing. This plan leveraged the SMART advocacy model and technical collaboration with </w:t>
      </w:r>
      <w:proofErr w:type="spellStart"/>
      <w:r w:rsidRPr="00C225BE">
        <w:rPr>
          <w:rFonts w:asciiTheme="minorHAnsi" w:hAnsiTheme="minorHAnsi"/>
          <w:sz w:val="24"/>
          <w:szCs w:val="24"/>
        </w:rPr>
        <w:t>Bajeti</w:t>
      </w:r>
      <w:proofErr w:type="spellEnd"/>
      <w:r w:rsidRPr="00C225BE">
        <w:rPr>
          <w:rFonts w:asciiTheme="minorHAnsi" w:hAnsiTheme="minorHAnsi"/>
          <w:sz w:val="24"/>
          <w:szCs w:val="24"/>
        </w:rPr>
        <w:t xml:space="preserve"> Hub, equipping CSOs with essential skills for effective and meaningful social participation in health sector reforms. Lessons from the two pilot counties were then applied to HENNET’s eight counties of operation (Laikipia, Baringo, Kitui, Kilifi,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and Kisumu) , expanding the reach and impact of CSO engagement to improve UHC outcomes across a wider geographic area.</w:t>
      </w:r>
    </w:p>
    <w:p w14:paraId="3D0B157F" w14:textId="77777777" w:rsidR="00D04F94" w:rsidRPr="00C225BE" w:rsidRDefault="00000000" w:rsidP="00E870E1">
      <w:pPr>
        <w:spacing w:after="0"/>
        <w:jc w:val="both"/>
        <w:rPr>
          <w:rFonts w:asciiTheme="minorHAnsi" w:hAnsiTheme="minorHAnsi"/>
          <w:b/>
          <w:bCs/>
          <w:sz w:val="24"/>
          <w:szCs w:val="24"/>
        </w:rPr>
      </w:pPr>
      <w:r w:rsidRPr="00C225BE">
        <w:rPr>
          <w:rFonts w:asciiTheme="minorHAnsi" w:hAnsiTheme="minorHAnsi"/>
          <w:sz w:val="24"/>
          <w:szCs w:val="24"/>
        </w:rPr>
        <w:t xml:space="preserve">SMART Advocacy training conducted reflected the diverse county contexts identified in the research. In Laikipia, for instance, participants highlighted chronic underfunding for vulnerable populations, limited emergency transport capacity, and gaps in youth and disability inclusion. Kilifi County champions emphasized incomplete health infrastructure projects, governance concerns, and barriers to public access to budget documents.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and Kisumu reaffirmed research findings showing strained service delivery systems, limited county-citizen interface, and inconsistent public participation.</w:t>
      </w:r>
    </w:p>
    <w:p w14:paraId="6D448931" w14:textId="77777777" w:rsidR="00D04F94" w:rsidRPr="00C225BE" w:rsidRDefault="00000000" w:rsidP="00E870E1">
      <w:pPr>
        <w:spacing w:after="0"/>
        <w:jc w:val="both"/>
        <w:rPr>
          <w:rFonts w:asciiTheme="minorHAnsi" w:hAnsiTheme="minorHAnsi"/>
          <w:b/>
          <w:bCs/>
          <w:sz w:val="24"/>
          <w:szCs w:val="24"/>
        </w:rPr>
      </w:pPr>
      <w:r w:rsidRPr="00C225BE">
        <w:rPr>
          <w:rFonts w:asciiTheme="minorHAnsi" w:hAnsiTheme="minorHAnsi"/>
          <w:sz w:val="24"/>
          <w:szCs w:val="24"/>
        </w:rPr>
        <w:t>Across counties, CSOs were equipped with skills to develop SMART objectives aligned with local political windows, leverage county budget cycles such as the County Budget Review and Outlook Paper (CBROP), and generate six-month workplans aimed at achieving near-term advocacy wins. These activities strengthened the technical capacity of local actors to interpret evidence, formulate policy asks, and engage decision-makers in structured, strategic ways.</w:t>
      </w:r>
    </w:p>
    <w:p w14:paraId="795017C1" w14:textId="77777777" w:rsidR="00D04F94" w:rsidRPr="00C225BE" w:rsidRDefault="00000000" w:rsidP="00E870E1">
      <w:pPr>
        <w:spacing w:after="0"/>
        <w:jc w:val="both"/>
        <w:rPr>
          <w:rFonts w:asciiTheme="minorHAnsi" w:hAnsiTheme="minorHAnsi"/>
          <w:b/>
          <w:bCs/>
          <w:sz w:val="24"/>
          <w:szCs w:val="24"/>
        </w:rPr>
      </w:pPr>
      <w:r w:rsidRPr="00C225BE">
        <w:rPr>
          <w:rFonts w:asciiTheme="minorHAnsi" w:hAnsiTheme="minorHAnsi"/>
          <w:sz w:val="24"/>
          <w:szCs w:val="24"/>
        </w:rPr>
        <w:t xml:space="preserve">At the national level, HENNET reinforced the evidence-to-action continuum through its monthly learning forums, thematic dialogues, and sector coordination platforms. The October 2024 Learning Forum, for example, addressed critical themes including mental health vulnerabilities among adolescents, the role of research and development in health system innovation, and the construction of investment cases </w:t>
      </w:r>
      <w:r w:rsidRPr="00C225BE">
        <w:rPr>
          <w:rFonts w:asciiTheme="minorHAnsi" w:hAnsiTheme="minorHAnsi"/>
          <w:sz w:val="24"/>
          <w:szCs w:val="24"/>
        </w:rPr>
        <w:lastRenderedPageBreak/>
        <w:t>for RMNCAH-N priorities. These knowledge sessions complemented the findings of the UHC research by highlighting structural determinants of health, financing gaps, inequities in service coverage, and opportunities for policy influence.</w:t>
      </w:r>
    </w:p>
    <w:p w14:paraId="10AC4A2B" w14:textId="08228123" w:rsidR="00D04F94" w:rsidRPr="00C225BE" w:rsidRDefault="00000000" w:rsidP="00E870E1">
      <w:pPr>
        <w:spacing w:after="0"/>
        <w:jc w:val="both"/>
        <w:rPr>
          <w:rFonts w:asciiTheme="minorHAnsi" w:hAnsiTheme="minorHAnsi"/>
          <w:b/>
          <w:bCs/>
          <w:sz w:val="24"/>
          <w:szCs w:val="24"/>
        </w:rPr>
      </w:pPr>
      <w:r w:rsidRPr="00C225BE">
        <w:rPr>
          <w:rFonts w:asciiTheme="minorHAnsi" w:hAnsiTheme="minorHAnsi"/>
          <w:sz w:val="24"/>
          <w:szCs w:val="24"/>
        </w:rPr>
        <w:t xml:space="preserve">Specialized platforms including the RMNCAH-N Multisectoral Forum, </w:t>
      </w:r>
      <w:r w:rsidR="002106CD" w:rsidRPr="00C225BE">
        <w:rPr>
          <w:rFonts w:asciiTheme="minorHAnsi" w:hAnsiTheme="minorHAnsi"/>
          <w:sz w:val="24"/>
          <w:szCs w:val="24"/>
        </w:rPr>
        <w:t xml:space="preserve">The Health </w:t>
      </w:r>
      <w:r w:rsidRPr="00C225BE">
        <w:rPr>
          <w:rFonts w:asciiTheme="minorHAnsi" w:hAnsiTheme="minorHAnsi"/>
          <w:sz w:val="24"/>
          <w:szCs w:val="24"/>
        </w:rPr>
        <w:t xml:space="preserve">CEO Leadership Forums, and Member Meetings further deepened HENNET’s coordination role by convening government, CSOs, academia, and the private sector to reflect on health system bottlenecks and identify </w:t>
      </w:r>
      <w:r w:rsidR="002106CD" w:rsidRPr="00C225BE">
        <w:rPr>
          <w:rFonts w:asciiTheme="minorHAnsi" w:hAnsiTheme="minorHAnsi"/>
          <w:sz w:val="24"/>
          <w:szCs w:val="24"/>
        </w:rPr>
        <w:t>opportunities for SPH for improved health financing and outcomes</w:t>
      </w:r>
      <w:r w:rsidRPr="00C225BE">
        <w:rPr>
          <w:rFonts w:asciiTheme="minorHAnsi" w:hAnsiTheme="minorHAnsi"/>
          <w:sz w:val="24"/>
          <w:szCs w:val="24"/>
        </w:rPr>
        <w:t>. Evidence from these platforms echoed the AIHD research conclusions: that achieving meaningful social participation requires more than ad hoc consultations it requires institutional mechanisms, sustained CSO engagement, strengthened governance, and systematic use of evidence to inform policy and resource allocation.</w:t>
      </w:r>
    </w:p>
    <w:p w14:paraId="3CA5FB42" w14:textId="4920C947" w:rsidR="00D04F94" w:rsidRPr="00C225BE" w:rsidRDefault="00000000" w:rsidP="00E870E1">
      <w:pPr>
        <w:spacing w:after="0"/>
        <w:jc w:val="both"/>
        <w:rPr>
          <w:rFonts w:asciiTheme="minorHAnsi" w:hAnsiTheme="minorHAnsi"/>
          <w:b/>
          <w:bCs/>
          <w:sz w:val="24"/>
          <w:szCs w:val="24"/>
        </w:rPr>
      </w:pPr>
      <w:r w:rsidRPr="00C225BE">
        <w:rPr>
          <w:rFonts w:asciiTheme="minorHAnsi" w:hAnsiTheme="minorHAnsi"/>
          <w:sz w:val="24"/>
          <w:szCs w:val="24"/>
        </w:rPr>
        <w:t xml:space="preserve">Community-level insights gathered through HENNET’s </w:t>
      </w:r>
      <w:r w:rsidR="002106CD" w:rsidRPr="00C225BE">
        <w:rPr>
          <w:rFonts w:asciiTheme="minorHAnsi" w:hAnsiTheme="minorHAnsi"/>
          <w:sz w:val="24"/>
          <w:szCs w:val="24"/>
        </w:rPr>
        <w:t>members</w:t>
      </w:r>
      <w:r w:rsidRPr="00C225BE">
        <w:rPr>
          <w:rFonts w:asciiTheme="minorHAnsi" w:hAnsiTheme="minorHAnsi"/>
          <w:sz w:val="24"/>
          <w:szCs w:val="24"/>
        </w:rPr>
        <w:t xml:space="preserve"> reinforced structural inequalities in WASH access, menstrual health, disability inclusion, mental health services, and emergency preparedness. These findings are consistent with the UHC research, which identified marginalized groups pastoralists, youth, persons with disabilities, women, and rural households as disproportionately affected by health system gaps.</w:t>
      </w:r>
    </w:p>
    <w:p w14:paraId="46A4F030" w14:textId="6FE4833F" w:rsidR="00D04F94" w:rsidRPr="00C225BE" w:rsidRDefault="00000000" w:rsidP="00E870E1">
      <w:pPr>
        <w:spacing w:after="0"/>
        <w:jc w:val="both"/>
        <w:rPr>
          <w:rFonts w:asciiTheme="minorHAnsi" w:hAnsiTheme="minorHAnsi"/>
          <w:b/>
          <w:bCs/>
          <w:sz w:val="24"/>
          <w:szCs w:val="24"/>
        </w:rPr>
      </w:pPr>
      <w:r w:rsidRPr="00C225BE">
        <w:rPr>
          <w:rFonts w:asciiTheme="minorHAnsi" w:hAnsiTheme="minorHAnsi"/>
          <w:sz w:val="24"/>
          <w:szCs w:val="24"/>
        </w:rPr>
        <w:t xml:space="preserve">Taken together, the evidence base from AIHD’s research, </w:t>
      </w:r>
      <w:r w:rsidR="002106CD" w:rsidRPr="00C225BE">
        <w:rPr>
          <w:rFonts w:asciiTheme="minorHAnsi" w:hAnsiTheme="minorHAnsi"/>
          <w:sz w:val="24"/>
          <w:szCs w:val="24"/>
        </w:rPr>
        <w:t xml:space="preserve">the SPH Advocacy plan, </w:t>
      </w:r>
      <w:r w:rsidRPr="00C225BE">
        <w:rPr>
          <w:rFonts w:asciiTheme="minorHAnsi" w:hAnsiTheme="minorHAnsi"/>
          <w:sz w:val="24"/>
          <w:szCs w:val="24"/>
        </w:rPr>
        <w:t>county-level advocacy trainings, national policy platforms, and community outreach depicts a health system where progress towards UHC is real but uneven, and where social participation remains both a critical leverage point and an underutilized resource. This Final Report is therefore rooted in the empirical findings, technical insights, and sector-wide consultations conducted throughout the project lifecycle. It serves not only as an account of accomplishments under the SPHERE initiative but also as an evidence-driven reflection on what is required to institutionalize meaningful social participation in Kenya’s health system reforms.</w:t>
      </w:r>
    </w:p>
    <w:p w14:paraId="409F39C7" w14:textId="77777777" w:rsidR="00D04F94" w:rsidRPr="00C225BE" w:rsidRDefault="00000000" w:rsidP="00E870E1">
      <w:pPr>
        <w:spacing w:after="0"/>
        <w:jc w:val="both"/>
        <w:rPr>
          <w:rFonts w:asciiTheme="minorHAnsi" w:hAnsiTheme="minorHAnsi"/>
          <w:sz w:val="24"/>
          <w:szCs w:val="24"/>
        </w:rPr>
      </w:pPr>
      <w:bookmarkStart w:id="6" w:name="_hnwmjq4pxp33" w:colFirst="0" w:colLast="0"/>
      <w:bookmarkEnd w:id="6"/>
      <w:r w:rsidRPr="00C225BE">
        <w:rPr>
          <w:rFonts w:asciiTheme="minorHAnsi" w:hAnsiTheme="minorHAnsi"/>
          <w:sz w:val="24"/>
          <w:szCs w:val="24"/>
        </w:rPr>
        <w:t xml:space="preserve"> </w:t>
      </w:r>
    </w:p>
    <w:p w14:paraId="3778670D" w14:textId="77777777" w:rsidR="00D04F94" w:rsidRPr="00C225BE" w:rsidRDefault="00000000">
      <w:pPr>
        <w:pStyle w:val="Heading2"/>
        <w:rPr>
          <w:rFonts w:asciiTheme="minorHAnsi" w:hAnsiTheme="minorHAnsi"/>
          <w:sz w:val="24"/>
          <w:szCs w:val="24"/>
        </w:rPr>
      </w:pPr>
      <w:bookmarkStart w:id="7" w:name="_Toc215947141"/>
      <w:r w:rsidRPr="00C225BE">
        <w:rPr>
          <w:rFonts w:asciiTheme="minorHAnsi" w:eastAsia="Cambria" w:hAnsiTheme="minorHAnsi" w:cs="Cambria"/>
          <w:sz w:val="24"/>
          <w:szCs w:val="24"/>
        </w:rPr>
        <w:t>5.2 Project Goal and Objectives</w:t>
      </w:r>
      <w:bookmarkEnd w:id="7"/>
    </w:p>
    <w:p w14:paraId="21163CCF" w14:textId="77777777" w:rsidR="00D04F94" w:rsidRPr="00C225BE" w:rsidRDefault="00000000" w:rsidP="00D2189C">
      <w:pPr>
        <w:pStyle w:val="Heading3"/>
        <w:rPr>
          <w:rFonts w:asciiTheme="minorHAnsi" w:hAnsiTheme="minorHAnsi"/>
          <w:sz w:val="24"/>
          <w:szCs w:val="24"/>
        </w:rPr>
      </w:pPr>
      <w:bookmarkStart w:id="8" w:name="_Toc215947142"/>
      <w:r w:rsidRPr="00C225BE">
        <w:rPr>
          <w:rFonts w:asciiTheme="minorHAnsi" w:hAnsiTheme="minorHAnsi"/>
          <w:sz w:val="24"/>
          <w:szCs w:val="24"/>
        </w:rPr>
        <w:t>Project Goal</w:t>
      </w:r>
      <w:bookmarkEnd w:id="8"/>
    </w:p>
    <w:p w14:paraId="6D2797EE" w14:textId="77777777" w:rsidR="00D04F94" w:rsidRPr="00C225BE" w:rsidRDefault="00000000" w:rsidP="00E870E1">
      <w:pPr>
        <w:jc w:val="both"/>
        <w:rPr>
          <w:rFonts w:asciiTheme="minorHAnsi" w:hAnsiTheme="minorHAnsi"/>
          <w:sz w:val="24"/>
          <w:szCs w:val="24"/>
        </w:rPr>
      </w:pPr>
      <w:r w:rsidRPr="00C225BE">
        <w:rPr>
          <w:rFonts w:asciiTheme="minorHAnsi" w:hAnsiTheme="minorHAnsi"/>
          <w:sz w:val="24"/>
          <w:szCs w:val="24"/>
        </w:rPr>
        <w:t>The SPHERE project in Kenya was designed to strengthen meaningful community and civil society engagement in health governance, with a specific focus on advancing the country’s Universal Health Coverage (UHC) agenda. Anchored in the findings of the AIHD-led research on CSO engagement in UHC implementation, and aligned with Kenya’s transition from the National Health Insurance Fund (NHIF) to the Social Health Insurance Fund (SHIF), the project pursued the following interrelated objectives:</w:t>
      </w:r>
    </w:p>
    <w:p w14:paraId="22FC7149" w14:textId="77777777" w:rsidR="00D04F94" w:rsidRPr="00C225BE" w:rsidRDefault="00000000" w:rsidP="00D2189C">
      <w:pPr>
        <w:spacing w:after="0"/>
        <w:ind w:left="360" w:hanging="360"/>
        <w:jc w:val="both"/>
        <w:rPr>
          <w:rFonts w:asciiTheme="minorHAnsi" w:hAnsiTheme="minorHAnsi"/>
          <w:sz w:val="24"/>
          <w:szCs w:val="24"/>
        </w:rPr>
      </w:pPr>
      <w:r w:rsidRPr="00C225BE">
        <w:rPr>
          <w:rFonts w:asciiTheme="minorHAnsi" w:hAnsiTheme="minorHAnsi"/>
          <w:sz w:val="24"/>
          <w:szCs w:val="24"/>
        </w:rPr>
        <w:lastRenderedPageBreak/>
        <w:t>1.</w:t>
      </w:r>
      <w:r w:rsidRPr="00C225BE">
        <w:rPr>
          <w:rFonts w:asciiTheme="minorHAnsi" w:hAnsiTheme="minorHAnsi"/>
          <w:sz w:val="24"/>
          <w:szCs w:val="24"/>
        </w:rPr>
        <w:tab/>
        <w:t xml:space="preserve">To assess past and current efforts to implement UHC and NHIF reforms in </w:t>
      </w:r>
      <w:proofErr w:type="spellStart"/>
      <w:r w:rsidRPr="00C225BE">
        <w:rPr>
          <w:rFonts w:asciiTheme="minorHAnsi" w:hAnsiTheme="minorHAnsi"/>
          <w:sz w:val="24"/>
          <w:szCs w:val="24"/>
        </w:rPr>
        <w:t>Kenya:This</w:t>
      </w:r>
      <w:proofErr w:type="spellEnd"/>
      <w:r w:rsidRPr="00C225BE">
        <w:rPr>
          <w:rFonts w:asciiTheme="minorHAnsi" w:hAnsiTheme="minorHAnsi"/>
          <w:sz w:val="24"/>
          <w:szCs w:val="24"/>
        </w:rPr>
        <w:t xml:space="preserve"> objective guided the foundational research conducted in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and Kisumu counties, which documented historical bottlenecks in UHC rollout including stockouts, inequitable access to services, financing variability, community awareness gaps, and governance inconsistencies. The assessment also reviewed lessons from the UHC pilot phase, digitalization initiatives, enrolment processes, and the structural transition to SHIF.</w:t>
      </w:r>
      <w:r w:rsidRPr="00C225BE">
        <w:rPr>
          <w:rFonts w:asciiTheme="minorHAnsi" w:hAnsiTheme="minorHAnsi"/>
          <w:sz w:val="24"/>
          <w:szCs w:val="24"/>
        </w:rPr>
        <w:br/>
        <w:t>This analysis provided the empirical baseline upon which project advocacy and capacity-strengthening interventions were built.</w:t>
      </w:r>
    </w:p>
    <w:p w14:paraId="4992BFAE" w14:textId="77777777" w:rsidR="00D04F94" w:rsidRPr="00C225BE" w:rsidRDefault="00000000" w:rsidP="00D2189C">
      <w:pPr>
        <w:spacing w:after="0"/>
        <w:ind w:left="360" w:hanging="360"/>
        <w:jc w:val="both"/>
        <w:rPr>
          <w:rFonts w:asciiTheme="minorHAnsi" w:hAnsiTheme="minorHAnsi"/>
          <w:sz w:val="24"/>
          <w:szCs w:val="24"/>
        </w:rPr>
      </w:pPr>
      <w:r w:rsidRPr="00C225BE">
        <w:rPr>
          <w:rFonts w:asciiTheme="minorHAnsi" w:hAnsiTheme="minorHAnsi"/>
          <w:sz w:val="24"/>
          <w:szCs w:val="24"/>
        </w:rPr>
        <w:t>2.</w:t>
      </w:r>
      <w:r w:rsidRPr="00C225BE">
        <w:rPr>
          <w:rFonts w:asciiTheme="minorHAnsi" w:hAnsiTheme="minorHAnsi"/>
          <w:sz w:val="24"/>
          <w:szCs w:val="24"/>
        </w:rPr>
        <w:tab/>
        <w:t>To assess the engagement of civil society organizations in the UHC/NHIF agenda and reforms: The AIHD research revealed that CSOs made substantive contributions to UHC implementation through awareness creation, community registration, public participation, data collection, and drafting policy briefs. However, their engagement was inconsistent due to unclear selection criteria, limited resourcing, fragmented coordination, and limited access to decision-making spaces. This objective informed SPHERE’s emphasis on strengthening CSO capacity, coordination structures, and evidence-informed engagement strategies.</w:t>
      </w:r>
    </w:p>
    <w:p w14:paraId="1DD05EF7" w14:textId="77777777" w:rsidR="00D04F94" w:rsidRPr="00C225BE" w:rsidRDefault="00000000" w:rsidP="00D2189C">
      <w:pPr>
        <w:spacing w:after="0"/>
        <w:ind w:left="360" w:hanging="360"/>
        <w:jc w:val="both"/>
        <w:rPr>
          <w:rFonts w:asciiTheme="minorHAnsi" w:hAnsiTheme="minorHAnsi"/>
          <w:sz w:val="24"/>
          <w:szCs w:val="24"/>
        </w:rPr>
      </w:pPr>
      <w:r w:rsidRPr="00C225BE">
        <w:rPr>
          <w:rFonts w:asciiTheme="minorHAnsi" w:hAnsiTheme="minorHAnsi"/>
          <w:sz w:val="24"/>
          <w:szCs w:val="24"/>
        </w:rPr>
        <w:t>3.</w:t>
      </w:r>
      <w:r w:rsidRPr="00C225BE">
        <w:rPr>
          <w:rFonts w:asciiTheme="minorHAnsi" w:hAnsiTheme="minorHAnsi"/>
          <w:sz w:val="24"/>
          <w:szCs w:val="24"/>
        </w:rPr>
        <w:tab/>
        <w:t xml:space="preserve">To develop a national advocacy agenda and engagement strategy for CSOs on UHC: SPHERE supported HENNET in convening multisectoral dialogues and SMART Advocacy workshops across Kisumu,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Kilifi, Laikipia, and Kitui to generate county-specific and national advocacy objectives. These agendas focused on PHC financing, commodity security, community health worker motivation, referral pathways, accountability for incomplete infrastructure, addressing the “triple threat” (teenage pregnancy, HIV infections, and sexual violence), and improving transparency in budget processes.</w:t>
      </w:r>
      <w:r w:rsidRPr="00C225BE">
        <w:rPr>
          <w:rFonts w:asciiTheme="minorHAnsi" w:hAnsiTheme="minorHAnsi"/>
          <w:sz w:val="24"/>
          <w:szCs w:val="24"/>
        </w:rPr>
        <w:br/>
        <w:t>Through this objective, the project strengthened CSOs’ ability to articulate evidence-based advocacy asks aligned with Kenya’s policy windows (e.g., CBROP, CFSP, SHIF rollout).</w:t>
      </w:r>
    </w:p>
    <w:p w14:paraId="5DD7DAA8" w14:textId="77777777" w:rsidR="00D04F94" w:rsidRPr="00C225BE" w:rsidRDefault="00000000" w:rsidP="00D2189C">
      <w:pPr>
        <w:spacing w:after="0"/>
        <w:ind w:left="360" w:hanging="360"/>
        <w:jc w:val="both"/>
        <w:rPr>
          <w:rFonts w:asciiTheme="minorHAnsi" w:hAnsiTheme="minorHAnsi"/>
          <w:sz w:val="24"/>
          <w:szCs w:val="24"/>
        </w:rPr>
      </w:pPr>
      <w:r w:rsidRPr="00C225BE">
        <w:rPr>
          <w:rFonts w:asciiTheme="minorHAnsi" w:hAnsiTheme="minorHAnsi"/>
          <w:sz w:val="24"/>
          <w:szCs w:val="24"/>
        </w:rPr>
        <w:t>4.</w:t>
      </w:r>
      <w:r w:rsidRPr="00C225BE">
        <w:rPr>
          <w:rFonts w:asciiTheme="minorHAnsi" w:hAnsiTheme="minorHAnsi"/>
          <w:sz w:val="24"/>
          <w:szCs w:val="24"/>
        </w:rPr>
        <w:tab/>
        <w:t>To enhance government commitment to roll out UHC/NHIF reforms: By documenting citizen experiences, synthesizing evidence gaps, and presenting actionable recommendations through member forums, RMNCAH-N multisectoral platforms, and national convenings, HENNET elevated community voices into county and national decision-making processes. Engagement with county leadership, health departments, and national forums such as WHA-aligned events reinforced the need for political prioritization, improved resource allocation, and inclusive implementation of UHC/SHIF reforms. This objective aligns with SPHERE’s broader aim of institutionalizing social participation in health governance and securing durable policy commitments.</w:t>
      </w:r>
    </w:p>
    <w:p w14:paraId="3CEC5053" w14:textId="77777777" w:rsidR="00D04F94" w:rsidRPr="00C225BE" w:rsidRDefault="00000000">
      <w:pPr>
        <w:pStyle w:val="Heading2"/>
        <w:rPr>
          <w:rFonts w:asciiTheme="minorHAnsi" w:eastAsia="Cambria" w:hAnsiTheme="minorHAnsi" w:cs="Cambria"/>
          <w:sz w:val="24"/>
          <w:szCs w:val="24"/>
        </w:rPr>
      </w:pPr>
      <w:bookmarkStart w:id="9" w:name="_639cdqiw6ud7" w:colFirst="0" w:colLast="0"/>
      <w:bookmarkStart w:id="10" w:name="_Toc215947143"/>
      <w:bookmarkEnd w:id="9"/>
      <w:r w:rsidRPr="00C225BE">
        <w:rPr>
          <w:rFonts w:asciiTheme="minorHAnsi" w:eastAsia="Cambria" w:hAnsiTheme="minorHAnsi" w:cs="Cambria"/>
          <w:sz w:val="24"/>
          <w:szCs w:val="24"/>
        </w:rPr>
        <w:lastRenderedPageBreak/>
        <w:t>5.3 Contractual Framework</w:t>
      </w:r>
      <w:bookmarkEnd w:id="10"/>
    </w:p>
    <w:p w14:paraId="50D24C34" w14:textId="5D4E5539" w:rsidR="00D04F94" w:rsidRPr="00C225BE" w:rsidRDefault="00000000" w:rsidP="00635A25">
      <w:pPr>
        <w:spacing w:after="0"/>
        <w:jc w:val="both"/>
        <w:rPr>
          <w:rFonts w:asciiTheme="minorHAnsi" w:hAnsiTheme="minorHAnsi"/>
          <w:b/>
          <w:bCs/>
          <w:sz w:val="24"/>
          <w:szCs w:val="24"/>
        </w:rPr>
      </w:pPr>
      <w:r w:rsidRPr="00C225BE">
        <w:rPr>
          <w:rFonts w:asciiTheme="minorHAnsi" w:hAnsiTheme="minorHAnsi"/>
          <w:sz w:val="24"/>
          <w:szCs w:val="24"/>
        </w:rPr>
        <w:t xml:space="preserve">The implementation of the SPHERE project in Kenya was governed by a </w:t>
      </w:r>
      <w:r w:rsidR="002106CD" w:rsidRPr="00C225BE">
        <w:rPr>
          <w:rFonts w:asciiTheme="minorHAnsi" w:hAnsiTheme="minorHAnsi"/>
          <w:sz w:val="24"/>
          <w:szCs w:val="24"/>
        </w:rPr>
        <w:t>formal contract between</w:t>
      </w:r>
      <w:r w:rsidRPr="00C225BE">
        <w:rPr>
          <w:rFonts w:asciiTheme="minorHAnsi" w:hAnsiTheme="minorHAnsi"/>
          <w:sz w:val="24"/>
          <w:szCs w:val="24"/>
        </w:rPr>
        <w:t xml:space="preserve"> Management Sciences for Health (MSH) and the Health NGOs Network (HENNET). This contract established the operational, technical, and compliance requirements for HENNET’s role as the national lead implementing partner for SPHERE. The agreement outlined the scope of work, key milestones, deliverable expectations, documentation standards, and the reporting mechanisms through which progress would be verified. A contractual modification, issued in April 2025, extended the period of performance through 30 June 2025, allowing adequate time for the completion of research activities, advocacy outputs, and global engagement obligations defined under the SPHERE initiative.</w:t>
      </w:r>
    </w:p>
    <w:p w14:paraId="2EC24EBE" w14:textId="77777777" w:rsidR="00D04F94" w:rsidRPr="00C225BE" w:rsidRDefault="00000000" w:rsidP="00635A25">
      <w:pPr>
        <w:spacing w:after="0"/>
        <w:jc w:val="both"/>
        <w:rPr>
          <w:rFonts w:asciiTheme="minorHAnsi" w:hAnsiTheme="minorHAnsi"/>
          <w:b/>
          <w:bCs/>
          <w:sz w:val="24"/>
          <w:szCs w:val="24"/>
        </w:rPr>
      </w:pPr>
      <w:r w:rsidRPr="00C225BE">
        <w:rPr>
          <w:rFonts w:asciiTheme="minorHAnsi" w:hAnsiTheme="minorHAnsi"/>
          <w:sz w:val="24"/>
          <w:szCs w:val="24"/>
        </w:rPr>
        <w:t>Under this framework, HENNET was mandated to implement the Kenya country workplan, coordinate national and subnational engagements, and oversee the delivery of all research and advocacy outputs. As part of its contractual obligations, HENNET subcontracted the African Institute for Health &amp; Development (AIHD) to conduct the research components of the project. AIHD’s role included designing and implementing qualitative assessments on Kenya’s UHC/NHIF reforms, analyzing CSO engagement, and producing the series of research outputs required under the subcontract. These research products formed the core evidence base for SPHERE’s advocacy agenda and contributed to Kenya’s participation in global learning platforms such as the World Health Assembly (WHA) and the Health Systems Research (HSR) Conference.</w:t>
      </w:r>
    </w:p>
    <w:p w14:paraId="6F539F6B" w14:textId="77777777" w:rsidR="00D04F94" w:rsidRPr="00C225BE" w:rsidRDefault="00000000" w:rsidP="00635A25">
      <w:pPr>
        <w:spacing w:after="0"/>
        <w:jc w:val="both"/>
        <w:rPr>
          <w:rFonts w:asciiTheme="minorHAnsi" w:hAnsiTheme="minorHAnsi"/>
          <w:b/>
          <w:bCs/>
          <w:sz w:val="24"/>
          <w:szCs w:val="24"/>
        </w:rPr>
      </w:pPr>
      <w:r w:rsidRPr="00C225BE">
        <w:rPr>
          <w:rFonts w:asciiTheme="minorHAnsi" w:hAnsiTheme="minorHAnsi"/>
          <w:sz w:val="24"/>
          <w:szCs w:val="24"/>
        </w:rPr>
        <w:t>The subcontract organized the project into six sequential milestones. The first focused on finalizing the workplan for approval. The second milestone required the submission of a revised Theory of Change, ethical review documentation, and evidence of early stakeholder engagement, including structured partner inputs. The subsequent milestones (three through five) centered on the generation and submission of research products, mapping of community actors, development of advocacy materials, contributions to WHA and HSR engagements, and documentation of national advocacy progress. The final milestone required the preparation of a comprehensive country progress summary integrating research findings, community insights, advocacy achievements, and evidence dissemination outputs. Submission of the Final Report marked the close of the contractual cycle.</w:t>
      </w:r>
    </w:p>
    <w:p w14:paraId="7617C840" w14:textId="77777777" w:rsidR="00D04F94" w:rsidRPr="00C225BE" w:rsidRDefault="00000000" w:rsidP="00635A25">
      <w:pPr>
        <w:spacing w:after="0"/>
        <w:jc w:val="both"/>
        <w:rPr>
          <w:rFonts w:asciiTheme="minorHAnsi" w:hAnsiTheme="minorHAnsi"/>
          <w:b/>
          <w:bCs/>
          <w:sz w:val="24"/>
          <w:szCs w:val="24"/>
        </w:rPr>
      </w:pPr>
      <w:r w:rsidRPr="00C225BE">
        <w:rPr>
          <w:rFonts w:asciiTheme="minorHAnsi" w:hAnsiTheme="minorHAnsi"/>
          <w:sz w:val="24"/>
          <w:szCs w:val="24"/>
        </w:rPr>
        <w:t xml:space="preserve">To ensure accountability and quality, the subcontract obligated HENNET to maintain rigorous documentation for all activities, including agendas, participant lists, attendance signatures, photographs, narrative reports, and meeting minutes. HENNET was also required to participate in monthly Core Committee meetings convened by MSH, which served as a mechanism for technical oversight, collaborative planning, and alignment with consortium-wide priorities. Technical supervision was provided by MSH-designated managers, while administrative oversight including </w:t>
      </w:r>
      <w:r w:rsidRPr="00C225BE">
        <w:rPr>
          <w:rFonts w:asciiTheme="minorHAnsi" w:hAnsiTheme="minorHAnsi"/>
          <w:sz w:val="24"/>
          <w:szCs w:val="24"/>
        </w:rPr>
        <w:lastRenderedPageBreak/>
        <w:t>review of deliverables and verification of milestone completion was handled through MSH’s contracting office.</w:t>
      </w:r>
    </w:p>
    <w:p w14:paraId="096A2D2C" w14:textId="77777777" w:rsidR="00D04F94" w:rsidRPr="00C225BE" w:rsidRDefault="00000000" w:rsidP="00635A25">
      <w:pPr>
        <w:spacing w:after="0"/>
        <w:jc w:val="both"/>
        <w:rPr>
          <w:rFonts w:asciiTheme="minorHAnsi" w:hAnsiTheme="minorHAnsi"/>
          <w:b/>
          <w:bCs/>
          <w:sz w:val="24"/>
          <w:szCs w:val="24"/>
        </w:rPr>
      </w:pPr>
      <w:r w:rsidRPr="00C225BE">
        <w:rPr>
          <w:rFonts w:asciiTheme="minorHAnsi" w:hAnsiTheme="minorHAnsi"/>
          <w:sz w:val="24"/>
          <w:szCs w:val="24"/>
        </w:rPr>
        <w:t>Through this structured contractual arrangement, HENNET was able to coordinate research partners such as AIHD, facilitate county and national-level engagements, deliver advocacy products, and contribute to global health governance dialogues. The framework ensured coherence, accountability, and consistency in delivering Kenya’s contribution to the SPHERE project.</w:t>
      </w:r>
    </w:p>
    <w:p w14:paraId="4953B671"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p w14:paraId="2B8AF581" w14:textId="77777777" w:rsidR="00D04F94" w:rsidRPr="00C225BE" w:rsidRDefault="00000000">
      <w:pPr>
        <w:rPr>
          <w:rFonts w:asciiTheme="minorHAnsi" w:hAnsiTheme="minorHAnsi"/>
          <w:sz w:val="24"/>
          <w:szCs w:val="24"/>
        </w:rPr>
      </w:pPr>
      <w:r w:rsidRPr="00C225BE">
        <w:rPr>
          <w:rFonts w:asciiTheme="minorHAnsi" w:hAnsiTheme="minorHAnsi"/>
          <w:sz w:val="24"/>
          <w:szCs w:val="24"/>
        </w:rPr>
        <w:t xml:space="preserve"> </w:t>
      </w:r>
    </w:p>
    <w:p w14:paraId="0CF91149" w14:textId="77777777" w:rsidR="00D04F94" w:rsidRPr="00C225BE" w:rsidRDefault="00D04F94">
      <w:pPr>
        <w:rPr>
          <w:rFonts w:asciiTheme="minorHAnsi" w:hAnsiTheme="minorHAnsi"/>
          <w:sz w:val="24"/>
          <w:szCs w:val="24"/>
        </w:rPr>
      </w:pPr>
    </w:p>
    <w:p w14:paraId="4A18D292" w14:textId="77777777" w:rsidR="00D04F94" w:rsidRPr="00C225BE" w:rsidRDefault="00D04F94">
      <w:pPr>
        <w:rPr>
          <w:rFonts w:asciiTheme="minorHAnsi" w:hAnsiTheme="minorHAnsi"/>
          <w:sz w:val="24"/>
          <w:szCs w:val="24"/>
        </w:rPr>
      </w:pPr>
    </w:p>
    <w:p w14:paraId="3552F598" w14:textId="77777777" w:rsidR="00D04F94" w:rsidRPr="00C225BE" w:rsidRDefault="00D04F94">
      <w:pPr>
        <w:rPr>
          <w:rFonts w:asciiTheme="minorHAnsi" w:hAnsiTheme="minorHAnsi"/>
          <w:sz w:val="24"/>
          <w:szCs w:val="24"/>
        </w:rPr>
      </w:pPr>
    </w:p>
    <w:p w14:paraId="4AA497CB" w14:textId="77777777" w:rsidR="00D04F94" w:rsidRPr="00C225BE" w:rsidRDefault="00D04F94">
      <w:pPr>
        <w:rPr>
          <w:rFonts w:asciiTheme="minorHAnsi" w:hAnsiTheme="minorHAnsi"/>
          <w:sz w:val="24"/>
          <w:szCs w:val="24"/>
        </w:rPr>
      </w:pPr>
    </w:p>
    <w:p w14:paraId="27601CD7" w14:textId="77777777" w:rsidR="00D04F94" w:rsidRPr="00C225BE" w:rsidRDefault="00D04F94">
      <w:pPr>
        <w:rPr>
          <w:rFonts w:asciiTheme="minorHAnsi" w:hAnsiTheme="minorHAnsi"/>
          <w:sz w:val="24"/>
          <w:szCs w:val="24"/>
        </w:rPr>
      </w:pPr>
    </w:p>
    <w:p w14:paraId="2D3F32A2" w14:textId="77777777" w:rsidR="00D04F94" w:rsidRPr="00C225BE" w:rsidRDefault="00D04F94">
      <w:pPr>
        <w:rPr>
          <w:rFonts w:asciiTheme="minorHAnsi" w:hAnsiTheme="minorHAnsi"/>
          <w:sz w:val="24"/>
          <w:szCs w:val="24"/>
        </w:rPr>
      </w:pPr>
    </w:p>
    <w:p w14:paraId="6C86321D" w14:textId="77777777" w:rsidR="00D04F94" w:rsidRPr="00C225BE" w:rsidRDefault="00D04F94">
      <w:pPr>
        <w:rPr>
          <w:rFonts w:asciiTheme="minorHAnsi" w:hAnsiTheme="minorHAnsi"/>
          <w:sz w:val="24"/>
          <w:szCs w:val="24"/>
        </w:rPr>
      </w:pPr>
    </w:p>
    <w:p w14:paraId="733D6464" w14:textId="77777777" w:rsidR="00D04F94" w:rsidRPr="00C225BE" w:rsidRDefault="00D04F94">
      <w:pPr>
        <w:rPr>
          <w:rFonts w:asciiTheme="minorHAnsi" w:hAnsiTheme="minorHAnsi"/>
          <w:sz w:val="24"/>
          <w:szCs w:val="24"/>
        </w:rPr>
      </w:pPr>
    </w:p>
    <w:p w14:paraId="154132DD" w14:textId="77777777" w:rsidR="00D04F94" w:rsidRPr="00C225BE" w:rsidRDefault="00D04F94">
      <w:pPr>
        <w:rPr>
          <w:rFonts w:asciiTheme="minorHAnsi" w:hAnsiTheme="minorHAnsi"/>
          <w:sz w:val="24"/>
          <w:szCs w:val="24"/>
        </w:rPr>
      </w:pPr>
    </w:p>
    <w:p w14:paraId="0148F65F" w14:textId="77777777" w:rsidR="00D04F94" w:rsidRPr="00C225BE" w:rsidRDefault="00D04F94">
      <w:pPr>
        <w:rPr>
          <w:rFonts w:asciiTheme="minorHAnsi" w:hAnsiTheme="minorHAnsi"/>
          <w:sz w:val="24"/>
          <w:szCs w:val="24"/>
        </w:rPr>
      </w:pPr>
    </w:p>
    <w:p w14:paraId="672042D2" w14:textId="77777777" w:rsidR="00D04F94" w:rsidRPr="00C225BE" w:rsidRDefault="00D04F94">
      <w:pPr>
        <w:rPr>
          <w:rFonts w:asciiTheme="minorHAnsi" w:hAnsiTheme="minorHAnsi"/>
          <w:sz w:val="24"/>
          <w:szCs w:val="24"/>
        </w:rPr>
      </w:pPr>
    </w:p>
    <w:p w14:paraId="5BB067DA" w14:textId="77777777" w:rsidR="00D04F94" w:rsidRPr="00C225BE" w:rsidRDefault="00D04F94">
      <w:pPr>
        <w:rPr>
          <w:rFonts w:asciiTheme="minorHAnsi" w:hAnsiTheme="minorHAnsi"/>
          <w:sz w:val="24"/>
          <w:szCs w:val="24"/>
        </w:rPr>
      </w:pPr>
    </w:p>
    <w:p w14:paraId="198CFB47" w14:textId="77777777" w:rsidR="00D04F94" w:rsidRPr="00C225BE" w:rsidRDefault="00D04F94">
      <w:pPr>
        <w:rPr>
          <w:rFonts w:asciiTheme="minorHAnsi" w:hAnsiTheme="minorHAnsi"/>
          <w:sz w:val="24"/>
          <w:szCs w:val="24"/>
        </w:rPr>
      </w:pPr>
    </w:p>
    <w:p w14:paraId="5090878B" w14:textId="77777777" w:rsidR="00D04F94" w:rsidRPr="00C225BE" w:rsidRDefault="00D04F94">
      <w:pPr>
        <w:rPr>
          <w:rFonts w:asciiTheme="minorHAnsi" w:hAnsiTheme="minorHAnsi"/>
          <w:sz w:val="24"/>
          <w:szCs w:val="24"/>
        </w:rPr>
      </w:pPr>
    </w:p>
    <w:p w14:paraId="53ACB48A" w14:textId="77777777" w:rsidR="00D04F94" w:rsidRPr="00C225BE" w:rsidRDefault="00D04F94">
      <w:pPr>
        <w:rPr>
          <w:rFonts w:asciiTheme="minorHAnsi" w:hAnsiTheme="minorHAnsi"/>
          <w:sz w:val="24"/>
          <w:szCs w:val="24"/>
        </w:rPr>
      </w:pPr>
    </w:p>
    <w:p w14:paraId="2396F231" w14:textId="77777777" w:rsidR="00D04F94" w:rsidRPr="00C225BE" w:rsidRDefault="00D04F94">
      <w:pPr>
        <w:rPr>
          <w:rFonts w:asciiTheme="minorHAnsi" w:hAnsiTheme="minorHAnsi"/>
          <w:sz w:val="24"/>
          <w:szCs w:val="24"/>
        </w:rPr>
      </w:pPr>
    </w:p>
    <w:p w14:paraId="70D61664" w14:textId="77777777" w:rsidR="00D04F94" w:rsidRPr="00C225BE" w:rsidRDefault="00D04F94">
      <w:pPr>
        <w:rPr>
          <w:rFonts w:asciiTheme="minorHAnsi" w:hAnsiTheme="minorHAnsi"/>
          <w:sz w:val="24"/>
          <w:szCs w:val="24"/>
        </w:rPr>
      </w:pPr>
    </w:p>
    <w:p w14:paraId="6025FD4D" w14:textId="77777777" w:rsidR="00D04F94" w:rsidRPr="00C225BE" w:rsidRDefault="00D04F94">
      <w:pPr>
        <w:rPr>
          <w:rFonts w:asciiTheme="minorHAnsi" w:hAnsiTheme="minorHAnsi"/>
          <w:sz w:val="24"/>
          <w:szCs w:val="24"/>
        </w:rPr>
      </w:pPr>
    </w:p>
    <w:p w14:paraId="2C73604B" w14:textId="77777777" w:rsidR="00D04F94" w:rsidRPr="00C225BE" w:rsidRDefault="00D04F94">
      <w:pPr>
        <w:rPr>
          <w:rFonts w:asciiTheme="minorHAnsi" w:hAnsiTheme="minorHAnsi"/>
          <w:sz w:val="24"/>
          <w:szCs w:val="24"/>
        </w:rPr>
      </w:pPr>
    </w:p>
    <w:p w14:paraId="6141F79C" w14:textId="77777777" w:rsidR="00D04F94" w:rsidRPr="00C225BE" w:rsidRDefault="00D04F94">
      <w:pPr>
        <w:rPr>
          <w:rFonts w:asciiTheme="minorHAnsi" w:hAnsiTheme="minorHAnsi"/>
          <w:sz w:val="24"/>
          <w:szCs w:val="24"/>
        </w:rPr>
      </w:pPr>
    </w:p>
    <w:p w14:paraId="3AC4F7C2" w14:textId="77777777" w:rsidR="00D04F94" w:rsidRPr="00C225BE" w:rsidRDefault="00D04F94">
      <w:pPr>
        <w:rPr>
          <w:rFonts w:asciiTheme="minorHAnsi" w:hAnsiTheme="minorHAnsi"/>
          <w:sz w:val="24"/>
          <w:szCs w:val="24"/>
        </w:rPr>
      </w:pPr>
    </w:p>
    <w:p w14:paraId="3161B062" w14:textId="77777777" w:rsidR="00D2189C" w:rsidRPr="00C225BE" w:rsidRDefault="00000000" w:rsidP="00D2189C">
      <w:pPr>
        <w:pStyle w:val="Heading1"/>
        <w:rPr>
          <w:rFonts w:asciiTheme="minorHAnsi" w:hAnsiTheme="minorHAnsi"/>
          <w:sz w:val="24"/>
          <w:szCs w:val="24"/>
        </w:rPr>
      </w:pPr>
      <w:bookmarkStart w:id="11" w:name="_Toc215947144"/>
      <w:r w:rsidRPr="00C225BE">
        <w:rPr>
          <w:rFonts w:asciiTheme="minorHAnsi" w:hAnsiTheme="minorHAnsi"/>
          <w:sz w:val="24"/>
          <w:szCs w:val="24"/>
        </w:rPr>
        <w:t>6. Implementation Approach</w:t>
      </w:r>
      <w:bookmarkEnd w:id="11"/>
    </w:p>
    <w:p w14:paraId="11A4B468" w14:textId="77777777" w:rsidR="002106CD" w:rsidRPr="00C225BE" w:rsidRDefault="002106CD" w:rsidP="002106CD">
      <w:pPr>
        <w:spacing w:after="0"/>
        <w:jc w:val="both"/>
        <w:rPr>
          <w:rFonts w:asciiTheme="minorHAnsi" w:hAnsiTheme="minorHAnsi"/>
          <w:b/>
          <w:bCs/>
          <w:sz w:val="24"/>
          <w:szCs w:val="24"/>
        </w:rPr>
      </w:pPr>
      <w:r w:rsidRPr="00C225BE">
        <w:rPr>
          <w:rFonts w:asciiTheme="minorHAnsi" w:hAnsiTheme="minorHAnsi"/>
          <w:sz w:val="24"/>
          <w:szCs w:val="24"/>
        </w:rPr>
        <w:t>The SPHERE project in Kenya was implemented over a two-year period using a systematic, four-phased, stepwise approach designed to strengthen civil society participation in UHC reforms and ensure evidence-informed advocacy for a more equitable health system. The first phase focused on scoping and evidence generation. This included an extensive review of policy documents, legislative frameworks, and historical efforts related to UHC and NHIF reforms, as well as an analysis of the extent and nature of CSO participation in these processes. This phase was operationalized through a comprehensive research study, carried out in partnership with the AIHD, which examined past and current UHC implementation efforts, identified key systemic constraints, and assessed how effectively CSOs had been engaged in shaping the reform agenda.</w:t>
      </w:r>
    </w:p>
    <w:p w14:paraId="76A9AE01" w14:textId="77777777" w:rsidR="002106CD" w:rsidRPr="00C225BE" w:rsidRDefault="002106CD" w:rsidP="002106CD">
      <w:pPr>
        <w:spacing w:after="0"/>
        <w:jc w:val="both"/>
        <w:rPr>
          <w:rFonts w:asciiTheme="minorHAnsi" w:hAnsiTheme="minorHAnsi"/>
          <w:b/>
          <w:bCs/>
          <w:sz w:val="24"/>
          <w:szCs w:val="24"/>
        </w:rPr>
      </w:pPr>
      <w:r w:rsidRPr="00C225BE">
        <w:rPr>
          <w:rFonts w:asciiTheme="minorHAnsi" w:hAnsiTheme="minorHAnsi"/>
          <w:sz w:val="24"/>
          <w:szCs w:val="24"/>
        </w:rPr>
        <w:t xml:space="preserve">The findings generated through this research laid the foundation for the second phase of the project, which </w:t>
      </w:r>
      <w:proofErr w:type="spellStart"/>
      <w:r w:rsidRPr="00C225BE">
        <w:rPr>
          <w:rFonts w:asciiTheme="minorHAnsi" w:hAnsiTheme="minorHAnsi"/>
          <w:sz w:val="24"/>
          <w:szCs w:val="24"/>
        </w:rPr>
        <w:t>centred</w:t>
      </w:r>
      <w:proofErr w:type="spellEnd"/>
      <w:r w:rsidRPr="00C225BE">
        <w:rPr>
          <w:rFonts w:asciiTheme="minorHAnsi" w:hAnsiTheme="minorHAnsi"/>
          <w:sz w:val="24"/>
          <w:szCs w:val="24"/>
        </w:rPr>
        <w:t xml:space="preserve"> on the development of a national advocacy agenda and structured capacity-building interventions for CSOs. The evidence highlighted significant policy gaps, operational challenges, and governance weaknesses that hindered equitable UHC rollout, as well as opportunities for targeted civil society engagement. These insights informed the design of capacity-strengthening activities including SMART advocacy workshops, policy dialogues, and multisectoral convenings aimed at equipping CSOs with the knowledge, tools, and strategic skills required to influence UHC policy processes more effectively. The overarching objective of this phase was to amplify CSO voice, strengthen coordination, and prepare the sector for meaningful engagement in UHC reforms.</w:t>
      </w:r>
    </w:p>
    <w:p w14:paraId="66854D5A" w14:textId="77777777" w:rsidR="002106CD" w:rsidRPr="00C225BE" w:rsidRDefault="002106CD" w:rsidP="002106CD">
      <w:pPr>
        <w:spacing w:after="0"/>
        <w:jc w:val="both"/>
        <w:rPr>
          <w:rFonts w:asciiTheme="minorHAnsi" w:hAnsiTheme="minorHAnsi"/>
          <w:b/>
          <w:bCs/>
          <w:sz w:val="24"/>
          <w:szCs w:val="24"/>
        </w:rPr>
      </w:pPr>
      <w:r w:rsidRPr="00C225BE">
        <w:rPr>
          <w:rFonts w:asciiTheme="minorHAnsi" w:hAnsiTheme="minorHAnsi"/>
          <w:sz w:val="24"/>
          <w:szCs w:val="24"/>
        </w:rPr>
        <w:t>The third phase focused on implementing the research findings through coordinated advocacy interventions at both national and county levels. This included targeted engagement with political leadership, parliamentary committees, county health executives, and key decision-makers within the Ministry of Health, NHIF, and subsequently the Social Health Authority (SHA). CSOs leveraged the advocacy agenda developed in Phase 2 to address specific challenges such as financing gaps, inconsistent public participation, bottlenecks in PHC implementation, and community-level barriers that had been documented in earlier stages of the project. Through policy dialogues, budget advocacy, media engagement, and community mobilization, the project sought to elevate citizen voices, influence policy reforms, and ensure that UHC implementation remained accountable, transparent, and responsive to local needs.</w:t>
      </w:r>
    </w:p>
    <w:p w14:paraId="22F5729A" w14:textId="77777777" w:rsidR="002106CD" w:rsidRPr="00C225BE" w:rsidRDefault="002106CD" w:rsidP="002106CD">
      <w:pPr>
        <w:spacing w:after="0"/>
        <w:jc w:val="both"/>
        <w:rPr>
          <w:rFonts w:asciiTheme="minorHAnsi" w:hAnsiTheme="minorHAnsi"/>
          <w:sz w:val="24"/>
          <w:szCs w:val="24"/>
        </w:rPr>
      </w:pPr>
      <w:r w:rsidRPr="00C225BE">
        <w:rPr>
          <w:rFonts w:asciiTheme="minorHAnsi" w:hAnsiTheme="minorHAnsi"/>
          <w:sz w:val="24"/>
          <w:szCs w:val="24"/>
        </w:rPr>
        <w:lastRenderedPageBreak/>
        <w:t>The final phase involved evaluation and documentation. This included assessing progress achieved, capturing lessons learned, and synthesizing evidence of changes in CSO engagement, policy influence, and institutional readiness for sustained social participation. This evaluative component ensured that the project’s contributions were systematically documented and that insights generated could inform future programming, national reforms, and global learning under the SPHERE consortium.</w:t>
      </w:r>
    </w:p>
    <w:p w14:paraId="38117AE7" w14:textId="77777777" w:rsidR="002106CD" w:rsidRPr="00C225BE" w:rsidRDefault="002106CD" w:rsidP="002106CD">
      <w:pPr>
        <w:rPr>
          <w:rFonts w:asciiTheme="minorHAnsi" w:hAnsiTheme="minorHAnsi"/>
          <w:sz w:val="24"/>
          <w:szCs w:val="24"/>
        </w:rPr>
      </w:pPr>
    </w:p>
    <w:p w14:paraId="0BB87074" w14:textId="77777777" w:rsidR="00D04F94" w:rsidRPr="00C225BE" w:rsidRDefault="00000000" w:rsidP="00D2189C">
      <w:pPr>
        <w:pStyle w:val="Heading2"/>
        <w:rPr>
          <w:rFonts w:asciiTheme="minorHAnsi" w:hAnsiTheme="minorHAnsi"/>
          <w:sz w:val="24"/>
          <w:szCs w:val="24"/>
        </w:rPr>
      </w:pPr>
      <w:bookmarkStart w:id="12" w:name="_Toc215947145"/>
      <w:r w:rsidRPr="00C225BE">
        <w:rPr>
          <w:rFonts w:asciiTheme="minorHAnsi" w:hAnsiTheme="minorHAnsi"/>
          <w:sz w:val="24"/>
          <w:szCs w:val="24"/>
        </w:rPr>
        <w:t>6.1 Theory of Change</w:t>
      </w:r>
      <w:bookmarkEnd w:id="12"/>
    </w:p>
    <w:p w14:paraId="24DF72F7" w14:textId="77777777" w:rsidR="002106CD" w:rsidRPr="00C225BE" w:rsidRDefault="002106CD" w:rsidP="002106CD">
      <w:pPr>
        <w:spacing w:after="0"/>
        <w:jc w:val="both"/>
        <w:rPr>
          <w:rFonts w:asciiTheme="minorHAnsi" w:hAnsiTheme="minorHAnsi"/>
          <w:b/>
          <w:bCs/>
          <w:sz w:val="24"/>
          <w:szCs w:val="24"/>
        </w:rPr>
      </w:pPr>
      <w:r w:rsidRPr="00C225BE">
        <w:rPr>
          <w:rFonts w:asciiTheme="minorHAnsi" w:hAnsiTheme="minorHAnsi"/>
          <w:sz w:val="24"/>
          <w:szCs w:val="24"/>
        </w:rPr>
        <w:t xml:space="preserve">The project’s overall approach was anchored in a Theory of Change that rests on the assumption that Kenya’s progress toward UHC will be more effective and sustainable when civil society and communities are meaningfully involved in shaping, implementing, and monitoring health reforms. The </w:t>
      </w:r>
      <w:proofErr w:type="spellStart"/>
      <w:r w:rsidRPr="00C225BE">
        <w:rPr>
          <w:rFonts w:asciiTheme="minorHAnsi" w:hAnsiTheme="minorHAnsi"/>
          <w:sz w:val="24"/>
          <w:szCs w:val="24"/>
        </w:rPr>
        <w:t>ToC</w:t>
      </w:r>
      <w:proofErr w:type="spellEnd"/>
      <w:r w:rsidRPr="00C225BE">
        <w:rPr>
          <w:rFonts w:asciiTheme="minorHAnsi" w:hAnsiTheme="minorHAnsi"/>
          <w:sz w:val="24"/>
          <w:szCs w:val="24"/>
        </w:rPr>
        <w:t xml:space="preserve"> posits that by first generating robust evidence on the background, successes, constraints, and policy gaps of UHC and NHIF/SHA reforms, and then strengthening CSO capacity, coordination, and engagement, civil society actors become better positioned to influence policy processes and hold decision-makers accountable. Through a structured advocacy agenda, targeted engagement with national institutions including the Ministry of Health, the SHA, Parliament and with county health leadership, alongside consistent community-level mobilization, CSOs can help drive key reforms, address implementation challenges, and promote equitable investment in health systems.</w:t>
      </w:r>
    </w:p>
    <w:p w14:paraId="2B4A2A33" w14:textId="77777777" w:rsidR="002106CD" w:rsidRPr="00C225BE" w:rsidRDefault="002106CD" w:rsidP="002106CD">
      <w:pPr>
        <w:spacing w:after="0"/>
        <w:jc w:val="both"/>
        <w:rPr>
          <w:rFonts w:asciiTheme="minorHAnsi" w:hAnsiTheme="minorHAnsi"/>
          <w:b/>
          <w:bCs/>
          <w:sz w:val="24"/>
          <w:szCs w:val="24"/>
        </w:rPr>
      </w:pPr>
      <w:bookmarkStart w:id="13" w:name="_ajff57m2yj3o" w:colFirst="0" w:colLast="0"/>
      <w:bookmarkEnd w:id="13"/>
      <w:r w:rsidRPr="00C225BE">
        <w:rPr>
          <w:rFonts w:asciiTheme="minorHAnsi" w:hAnsiTheme="minorHAnsi"/>
          <w:sz w:val="24"/>
          <w:szCs w:val="24"/>
        </w:rPr>
        <w:t xml:space="preserve">The transition from NHIF to the SHA following enactment of the Social Health Insurance Act (2023) provided a critical contextual shift that shaped the project’s strategic direction. As SHA rollout began, the project intensified its focus on understanding and influencing this new architecture, ensuring that CSOs were informed, empowered, and capable of contributing to the evolving reform landscape. When CSOs are empowered, coordinated, and included in formal decision-making spaces, government commitment to UHC increases, policies become more responsive and transparent, and the uptake of UHC/SHA benefits improves. Ultimately, the </w:t>
      </w:r>
      <w:proofErr w:type="spellStart"/>
      <w:r w:rsidRPr="00C225BE">
        <w:rPr>
          <w:rFonts w:asciiTheme="minorHAnsi" w:hAnsiTheme="minorHAnsi"/>
          <w:sz w:val="24"/>
          <w:szCs w:val="24"/>
        </w:rPr>
        <w:t>ToC</w:t>
      </w:r>
      <w:proofErr w:type="spellEnd"/>
      <w:r w:rsidRPr="00C225BE">
        <w:rPr>
          <w:rFonts w:asciiTheme="minorHAnsi" w:hAnsiTheme="minorHAnsi"/>
          <w:sz w:val="24"/>
          <w:szCs w:val="24"/>
        </w:rPr>
        <w:t xml:space="preserve"> envisions that strengthened social participation contributes to a more accountable, equitable, and people-</w:t>
      </w:r>
      <w:proofErr w:type="spellStart"/>
      <w:r w:rsidRPr="00C225BE">
        <w:rPr>
          <w:rFonts w:asciiTheme="minorHAnsi" w:hAnsiTheme="minorHAnsi"/>
          <w:sz w:val="24"/>
          <w:szCs w:val="24"/>
        </w:rPr>
        <w:t>centred</w:t>
      </w:r>
      <w:proofErr w:type="spellEnd"/>
      <w:r w:rsidRPr="00C225BE">
        <w:rPr>
          <w:rFonts w:asciiTheme="minorHAnsi" w:hAnsiTheme="minorHAnsi"/>
          <w:sz w:val="24"/>
          <w:szCs w:val="24"/>
        </w:rPr>
        <w:t xml:space="preserve"> UHC rollout in Kenya.</w:t>
      </w:r>
    </w:p>
    <w:p w14:paraId="4A7FD371" w14:textId="77777777" w:rsidR="002106CD" w:rsidRPr="00C225BE" w:rsidRDefault="002106CD" w:rsidP="00E97D7A">
      <w:pPr>
        <w:spacing w:after="0"/>
        <w:jc w:val="both"/>
        <w:rPr>
          <w:rFonts w:asciiTheme="minorHAnsi" w:hAnsiTheme="minorHAnsi"/>
          <w:b/>
          <w:bCs/>
          <w:sz w:val="24"/>
          <w:szCs w:val="24"/>
        </w:rPr>
      </w:pPr>
    </w:p>
    <w:p w14:paraId="6F46A49F" w14:textId="6B4CFB2F" w:rsidR="00D04F94" w:rsidRPr="00C225BE" w:rsidRDefault="002106CD">
      <w:pPr>
        <w:pStyle w:val="Heading2"/>
        <w:spacing w:before="240" w:after="160" w:line="256" w:lineRule="auto"/>
        <w:jc w:val="both"/>
        <w:rPr>
          <w:rFonts w:asciiTheme="minorHAnsi" w:eastAsia="Cambria" w:hAnsiTheme="minorHAnsi" w:cs="Cambria"/>
          <w:color w:val="FF0000"/>
          <w:sz w:val="24"/>
          <w:szCs w:val="24"/>
        </w:rPr>
      </w:pPr>
      <w:bookmarkStart w:id="14" w:name="_yiow1c3xn1l4" w:colFirst="0" w:colLast="0"/>
      <w:bookmarkEnd w:id="14"/>
      <w:r w:rsidRPr="00C225BE">
        <w:rPr>
          <w:rFonts w:asciiTheme="minorHAnsi" w:hAnsiTheme="minorHAnsi" w:cstheme="minorHAnsi"/>
          <w:noProof/>
          <w:sz w:val="24"/>
          <w:szCs w:val="24"/>
        </w:rPr>
        <w:lastRenderedPageBreak/>
        <mc:AlternateContent>
          <mc:Choice Requires="wpg">
            <w:drawing>
              <wp:anchor distT="0" distB="0" distL="114300" distR="114300" simplePos="0" relativeHeight="251659264" behindDoc="0" locked="0" layoutInCell="1" allowOverlap="1" wp14:anchorId="034D3D81" wp14:editId="453D220E">
                <wp:simplePos x="0" y="0"/>
                <wp:positionH relativeFrom="column">
                  <wp:posOffset>0</wp:posOffset>
                </wp:positionH>
                <wp:positionV relativeFrom="paragraph">
                  <wp:posOffset>297815</wp:posOffset>
                </wp:positionV>
                <wp:extent cx="5991860" cy="3712210"/>
                <wp:effectExtent l="0" t="0" r="15240" b="0"/>
                <wp:wrapSquare wrapText="bothSides"/>
                <wp:docPr id="17" name="Group 17"/>
                <wp:cNvGraphicFramePr/>
                <a:graphic xmlns:a="http://schemas.openxmlformats.org/drawingml/2006/main">
                  <a:graphicData uri="http://schemas.microsoft.com/office/word/2010/wordprocessingGroup">
                    <wpg:wgp>
                      <wpg:cNvGrpSpPr/>
                      <wpg:grpSpPr>
                        <a:xfrm>
                          <a:off x="0" y="0"/>
                          <a:ext cx="5991860" cy="3712210"/>
                          <a:chOff x="0" y="0"/>
                          <a:chExt cx="5992223" cy="3712210"/>
                        </a:xfrm>
                      </wpg:grpSpPr>
                      <wpg:grpSp>
                        <wpg:cNvPr id="16" name="Group 16"/>
                        <wpg:cNvGrpSpPr/>
                        <wpg:grpSpPr>
                          <a:xfrm>
                            <a:off x="13063" y="0"/>
                            <a:ext cx="5979160" cy="3370217"/>
                            <a:chOff x="0" y="0"/>
                            <a:chExt cx="6162675" cy="3442063"/>
                          </a:xfrm>
                        </wpg:grpSpPr>
                        <wps:wsp>
                          <wps:cNvPr id="18" name="Text Box 18"/>
                          <wps:cNvSpPr txBox="1"/>
                          <wps:spPr>
                            <a:xfrm>
                              <a:off x="0" y="0"/>
                              <a:ext cx="6162675" cy="344206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46E4BD" w14:textId="77777777" w:rsidR="002106CD" w:rsidRPr="005A5D69" w:rsidRDefault="002106CD" w:rsidP="002106CD">
                                <w:pPr>
                                  <w:rPr>
                                    <w:b/>
                                    <w:bCs/>
                                    <w:color w:val="7030A0"/>
                                  </w:rPr>
                                </w:pPr>
                                <w:r w:rsidRPr="005A5D69">
                                  <w:rPr>
                                    <w:b/>
                                    <w:bCs/>
                                    <w:color w:val="7030A0"/>
                                  </w:rPr>
                                  <w:t xml:space="preserve"> </w:t>
                                </w:r>
                                <w:r>
                                  <w:rPr>
                                    <w:b/>
                                    <w:bCs/>
                                    <w:color w:val="7030A0"/>
                                  </w:rPr>
                                  <w:t xml:space="preserve">               </w:t>
                                </w:r>
                                <w:r w:rsidRPr="005A5D69">
                                  <w:rPr>
                                    <w:b/>
                                    <w:bCs/>
                                    <w:color w:val="7030A0"/>
                                  </w:rPr>
                                  <w:tab/>
                                </w:r>
                                <w:r w:rsidRPr="005A5D69">
                                  <w:rPr>
                                    <w:b/>
                                    <w:bCs/>
                                    <w:color w:val="7030A0"/>
                                  </w:rPr>
                                  <w:tab/>
                                </w:r>
                                <w:r w:rsidRPr="005A5D69">
                                  <w:rPr>
                                    <w:b/>
                                    <w:bCs/>
                                    <w:color w:val="7030A0"/>
                                  </w:rPr>
                                  <w:tab/>
                                </w:r>
                                <w:r>
                                  <w:rPr>
                                    <w:b/>
                                    <w:bCs/>
                                    <w:color w:val="7030A0"/>
                                  </w:rPr>
                                  <w:t xml:space="preserve">      </w:t>
                                </w:r>
                              </w:p>
                              <w:p w14:paraId="06C1EB13" w14:textId="77777777" w:rsidR="002106CD" w:rsidRDefault="002106CD" w:rsidP="002106CD"/>
                              <w:p w14:paraId="5863E528" w14:textId="77777777" w:rsidR="002106CD" w:rsidRDefault="002106CD" w:rsidP="002106CD"/>
                              <w:p w14:paraId="0B5B24A6" w14:textId="77777777" w:rsidR="002106CD" w:rsidRDefault="002106CD" w:rsidP="002106CD"/>
                              <w:p w14:paraId="4299A41C" w14:textId="77777777" w:rsidR="002106CD" w:rsidRDefault="002106CD" w:rsidP="002106CD"/>
                              <w:p w14:paraId="1B399BAB" w14:textId="77777777" w:rsidR="002106CD" w:rsidRDefault="002106CD" w:rsidP="002106CD"/>
                              <w:p w14:paraId="0C15AC44" w14:textId="77777777" w:rsidR="002106CD" w:rsidRDefault="002106CD" w:rsidP="002106CD"/>
                              <w:p w14:paraId="367E6892" w14:textId="77777777" w:rsidR="002106CD" w:rsidRDefault="002106CD" w:rsidP="002106CD"/>
                              <w:p w14:paraId="2A7E87E6" w14:textId="77777777" w:rsidR="002106CD" w:rsidRDefault="002106CD" w:rsidP="002106CD"/>
                              <w:p w14:paraId="53305ABF" w14:textId="77777777" w:rsidR="002106CD" w:rsidRPr="00F55471" w:rsidRDefault="002106CD" w:rsidP="002106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 name="Group 10"/>
                          <wpg:cNvGrpSpPr/>
                          <wpg:grpSpPr>
                            <a:xfrm>
                              <a:off x="156754" y="26125"/>
                              <a:ext cx="5857059" cy="3382192"/>
                              <a:chOff x="0" y="0"/>
                              <a:chExt cx="5857059" cy="3382192"/>
                            </a:xfrm>
                          </wpg:grpSpPr>
                          <wpg:grpSp>
                            <wpg:cNvPr id="2" name="Group 2"/>
                            <wpg:cNvGrpSpPr/>
                            <wpg:grpSpPr>
                              <a:xfrm>
                                <a:off x="0" y="209006"/>
                                <a:ext cx="5857059" cy="3173186"/>
                                <a:chOff x="0" y="0"/>
                                <a:chExt cx="5857059" cy="3173186"/>
                              </a:xfrm>
                            </wpg:grpSpPr>
                            <wps:wsp>
                              <wps:cNvPr id="20" name="Oval 20"/>
                              <wps:cNvSpPr/>
                              <wps:spPr>
                                <a:xfrm>
                                  <a:off x="2057400" y="672737"/>
                                  <a:ext cx="1838325" cy="2286000"/>
                                </a:xfrm>
                                <a:prstGeom prst="ellipse">
                                  <a:avLst/>
                                </a:prstGeom>
                              </wps:spPr>
                              <wps:style>
                                <a:lnRef idx="2">
                                  <a:schemeClr val="dk1"/>
                                </a:lnRef>
                                <a:fillRef idx="1">
                                  <a:schemeClr val="lt1"/>
                                </a:fillRef>
                                <a:effectRef idx="0">
                                  <a:schemeClr val="dk1"/>
                                </a:effectRef>
                                <a:fontRef idx="minor">
                                  <a:schemeClr val="dk1"/>
                                </a:fontRef>
                              </wps:style>
                              <wps:txbx>
                                <w:txbxContent>
                                  <w:p w14:paraId="01162336" w14:textId="77777777" w:rsidR="002106CD" w:rsidRPr="004051C9" w:rsidRDefault="002106CD" w:rsidP="002106CD">
                                    <w:pPr>
                                      <w:jc w:val="center"/>
                                      <w:rPr>
                                        <w:b/>
                                        <w:color w:val="7030A0"/>
                                        <w:sz w:val="16"/>
                                        <w:szCs w:val="16"/>
                                      </w:rPr>
                                    </w:pPr>
                                    <w:r w:rsidRPr="004051C9">
                                      <w:rPr>
                                        <w:b/>
                                        <w:color w:val="7030A0"/>
                                        <w:sz w:val="16"/>
                                        <w:szCs w:val="16"/>
                                      </w:rPr>
                                      <w:t>Advocacy agenda of CSOs on UHC</w:t>
                                    </w:r>
                                  </w:p>
                                  <w:p w14:paraId="49518F94" w14:textId="77777777" w:rsidR="002106CD" w:rsidRPr="004051C9" w:rsidRDefault="002106CD" w:rsidP="002106CD">
                                    <w:pPr>
                                      <w:rPr>
                                        <w:sz w:val="16"/>
                                        <w:szCs w:val="16"/>
                                      </w:rPr>
                                    </w:pPr>
                                    <w:r>
                                      <w:rPr>
                                        <w:sz w:val="16"/>
                                        <w:szCs w:val="16"/>
                                      </w:rPr>
                                      <w:t>-</w:t>
                                    </w:r>
                                    <w:r w:rsidRPr="004051C9">
                                      <w:rPr>
                                        <w:sz w:val="16"/>
                                        <w:szCs w:val="16"/>
                                      </w:rPr>
                                      <w:t xml:space="preserve">Priority issues </w:t>
                                    </w:r>
                                    <w:r>
                                      <w:rPr>
                                        <w:sz w:val="16"/>
                                        <w:szCs w:val="16"/>
                                      </w:rPr>
                                      <w:t xml:space="preserve">on advocacy </w:t>
                                    </w:r>
                                    <w:r w:rsidRPr="004051C9">
                                      <w:rPr>
                                        <w:sz w:val="16"/>
                                        <w:szCs w:val="16"/>
                                      </w:rPr>
                                      <w:t>to improve UHC/NHIF</w:t>
                                    </w:r>
                                  </w:p>
                                  <w:p w14:paraId="58FE0D1D" w14:textId="77777777" w:rsidR="002106CD" w:rsidRPr="004051C9" w:rsidRDefault="002106CD" w:rsidP="002106CD">
                                    <w:r>
                                      <w:rPr>
                                        <w:sz w:val="16"/>
                                        <w:szCs w:val="16"/>
                                      </w:rPr>
                                      <w:t>-</w:t>
                                    </w:r>
                                    <w:r w:rsidRPr="004051C9">
                                      <w:rPr>
                                        <w:sz w:val="16"/>
                                        <w:szCs w:val="16"/>
                                      </w:rPr>
                                      <w:t>Develop an advocacy strategy for CSOs engagement with</w:t>
                                    </w:r>
                                    <w:r>
                                      <w:t xml:space="preserve"> </w:t>
                                    </w:r>
                                    <w:r w:rsidRPr="004051C9">
                                      <w:rPr>
                                        <w:sz w:val="16"/>
                                        <w:szCs w:val="16"/>
                                      </w:rPr>
                                      <w:t>MOH</w:t>
                                    </w:r>
                                    <w:r>
                                      <w:rPr>
                                        <w:sz w:val="16"/>
                                        <w:szCs w:val="16"/>
                                      </w:rPr>
                                      <w:t xml:space="preserve"> </w:t>
                                    </w:r>
                                    <w:r w:rsidRPr="004051C9">
                                      <w:rPr>
                                        <w:sz w:val="16"/>
                                        <w:szCs w:val="16"/>
                                      </w:rPr>
                                      <w:t>to improve Government investment on UHC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52252" y="1763486"/>
                                  <a:ext cx="1628775" cy="1409700"/>
                                </a:xfrm>
                                <a:prstGeom prst="ellipse">
                                  <a:avLst/>
                                </a:prstGeom>
                              </wps:spPr>
                              <wps:style>
                                <a:lnRef idx="2">
                                  <a:schemeClr val="dk1"/>
                                </a:lnRef>
                                <a:fillRef idx="1">
                                  <a:schemeClr val="lt1"/>
                                </a:fillRef>
                                <a:effectRef idx="0">
                                  <a:schemeClr val="dk1"/>
                                </a:effectRef>
                                <a:fontRef idx="minor">
                                  <a:schemeClr val="dk1"/>
                                </a:fontRef>
                              </wps:style>
                              <wps:txbx>
                                <w:txbxContent>
                                  <w:p w14:paraId="2549E981" w14:textId="77777777" w:rsidR="002106CD" w:rsidRPr="004051C9" w:rsidRDefault="002106CD" w:rsidP="002106CD">
                                    <w:pPr>
                                      <w:spacing w:after="0"/>
                                      <w:jc w:val="center"/>
                                      <w:rPr>
                                        <w:b/>
                                        <w:color w:val="7030A0"/>
                                        <w:sz w:val="16"/>
                                        <w:szCs w:val="16"/>
                                      </w:rPr>
                                    </w:pPr>
                                    <w:r w:rsidRPr="004051C9">
                                      <w:rPr>
                                        <w:b/>
                                        <w:color w:val="7030A0"/>
                                        <w:sz w:val="16"/>
                                        <w:szCs w:val="16"/>
                                      </w:rPr>
                                      <w:t>Engagement of CSOs</w:t>
                                    </w:r>
                                  </w:p>
                                  <w:p w14:paraId="1F8FB6C8" w14:textId="77777777" w:rsidR="002106CD" w:rsidRPr="004051C9" w:rsidRDefault="002106CD" w:rsidP="002106CD">
                                    <w:pPr>
                                      <w:spacing w:after="0"/>
                                      <w:rPr>
                                        <w:bCs/>
                                        <w:sz w:val="16"/>
                                        <w:szCs w:val="16"/>
                                      </w:rPr>
                                    </w:pPr>
                                    <w:r>
                                      <w:rPr>
                                        <w:bCs/>
                                        <w:sz w:val="16"/>
                                        <w:szCs w:val="16"/>
                                      </w:rPr>
                                      <w:t>-</w:t>
                                    </w:r>
                                    <w:r w:rsidRPr="004051C9">
                                      <w:rPr>
                                        <w:bCs/>
                                        <w:sz w:val="16"/>
                                        <w:szCs w:val="16"/>
                                      </w:rPr>
                                      <w:t>No. of CSOs engaged</w:t>
                                    </w:r>
                                    <w:r>
                                      <w:rPr>
                                        <w:bCs/>
                                        <w:sz w:val="16"/>
                                        <w:szCs w:val="16"/>
                                      </w:rPr>
                                      <w:t xml:space="preserve"> in UHC agenda</w:t>
                                    </w:r>
                                  </w:p>
                                  <w:p w14:paraId="6763E3FB" w14:textId="77777777" w:rsidR="002106CD" w:rsidRPr="004051C9" w:rsidRDefault="002106CD" w:rsidP="002106CD">
                                    <w:pPr>
                                      <w:spacing w:after="0"/>
                                      <w:rPr>
                                        <w:bCs/>
                                        <w:sz w:val="16"/>
                                        <w:szCs w:val="16"/>
                                      </w:rPr>
                                    </w:pPr>
                                    <w:r>
                                      <w:rPr>
                                        <w:bCs/>
                                        <w:sz w:val="16"/>
                                        <w:szCs w:val="16"/>
                                      </w:rPr>
                                      <w:t>-</w:t>
                                    </w:r>
                                    <w:r w:rsidRPr="004051C9">
                                      <w:rPr>
                                        <w:bCs/>
                                        <w:sz w:val="16"/>
                                        <w:szCs w:val="16"/>
                                      </w:rPr>
                                      <w:t>Reforms championed by the CSOs</w:t>
                                    </w:r>
                                  </w:p>
                                  <w:p w14:paraId="7E2DFF67" w14:textId="77777777" w:rsidR="002106CD" w:rsidRDefault="002106CD" w:rsidP="002106CD">
                                    <w:pPr>
                                      <w:spacing w:after="0"/>
                                      <w:rPr>
                                        <w:bCs/>
                                        <w:sz w:val="16"/>
                                        <w:szCs w:val="16"/>
                                      </w:rPr>
                                    </w:pPr>
                                    <w:r>
                                      <w:rPr>
                                        <w:bCs/>
                                        <w:sz w:val="16"/>
                                        <w:szCs w:val="16"/>
                                      </w:rPr>
                                      <w:t>-</w:t>
                                    </w:r>
                                    <w:r w:rsidRPr="004051C9">
                                      <w:rPr>
                                        <w:bCs/>
                                        <w:sz w:val="16"/>
                                        <w:szCs w:val="16"/>
                                      </w:rPr>
                                      <w:t>CSOs challenges</w:t>
                                    </w:r>
                                    <w:r>
                                      <w:rPr>
                                        <w:bCs/>
                                        <w:sz w:val="16"/>
                                        <w:szCs w:val="16"/>
                                      </w:rPr>
                                      <w:t xml:space="preserve"> in championing for UHC</w:t>
                                    </w:r>
                                  </w:p>
                                  <w:p w14:paraId="45AC0FD9" w14:textId="77777777" w:rsidR="002106CD" w:rsidRPr="004051C9" w:rsidRDefault="002106CD" w:rsidP="002106CD">
                                    <w:pPr>
                                      <w:spacing w:after="0"/>
                                      <w:rPr>
                                        <w:bCs/>
                                        <w:sz w:val="16"/>
                                        <w:szCs w:val="16"/>
                                      </w:rPr>
                                    </w:pPr>
                                    <w:r>
                                      <w:rPr>
                                        <w:bCs/>
                                        <w:sz w:val="16"/>
                                        <w:szCs w:val="16"/>
                                      </w:rPr>
                                      <w:t>-</w:t>
                                    </w:r>
                                    <w:r w:rsidRPr="004051C9">
                                      <w:rPr>
                                        <w:bCs/>
                                        <w:sz w:val="16"/>
                                        <w:szCs w:val="16"/>
                                      </w:rPr>
                                      <w:t xml:space="preserve">CSOs </w:t>
                                    </w:r>
                                    <w:r>
                                      <w:rPr>
                                        <w:bCs/>
                                        <w:sz w:val="16"/>
                                        <w:szCs w:val="16"/>
                                      </w:rPr>
                                      <w:t xml:space="preserve"> </w:t>
                                    </w:r>
                                    <w:r w:rsidRPr="004051C9">
                                      <w:rPr>
                                        <w:bCs/>
                                        <w:sz w:val="16"/>
                                        <w:szCs w:val="16"/>
                                      </w:rPr>
                                      <w:t>recommendations</w:t>
                                    </w:r>
                                  </w:p>
                                  <w:p w14:paraId="74E8D45E" w14:textId="77777777" w:rsidR="002106CD" w:rsidRDefault="002106CD" w:rsidP="002106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0" y="293914"/>
                                  <a:ext cx="1600200" cy="1447800"/>
                                </a:xfrm>
                                <a:prstGeom prst="ellipse">
                                  <a:avLst/>
                                </a:prstGeom>
                              </wps:spPr>
                              <wps:style>
                                <a:lnRef idx="2">
                                  <a:schemeClr val="dk1"/>
                                </a:lnRef>
                                <a:fillRef idx="1">
                                  <a:schemeClr val="lt1"/>
                                </a:fillRef>
                                <a:effectRef idx="0">
                                  <a:schemeClr val="dk1"/>
                                </a:effectRef>
                                <a:fontRef idx="minor">
                                  <a:schemeClr val="dk1"/>
                                </a:fontRef>
                              </wps:style>
                              <wps:txbx>
                                <w:txbxContent>
                                  <w:p w14:paraId="23280081" w14:textId="77777777" w:rsidR="002106CD" w:rsidRPr="00094E9F" w:rsidRDefault="002106CD" w:rsidP="002106CD">
                                    <w:pPr>
                                      <w:spacing w:after="0"/>
                                      <w:jc w:val="center"/>
                                      <w:rPr>
                                        <w:b/>
                                        <w:color w:val="7030A0"/>
                                        <w:sz w:val="16"/>
                                        <w:szCs w:val="16"/>
                                      </w:rPr>
                                    </w:pPr>
                                    <w:r>
                                      <w:rPr>
                                        <w:b/>
                                        <w:color w:val="7030A0"/>
                                        <w:sz w:val="16"/>
                                        <w:szCs w:val="16"/>
                                      </w:rPr>
                                      <w:t>B</w:t>
                                    </w:r>
                                    <w:r w:rsidRPr="00094E9F">
                                      <w:rPr>
                                        <w:b/>
                                        <w:color w:val="7030A0"/>
                                        <w:sz w:val="16"/>
                                        <w:szCs w:val="16"/>
                                      </w:rPr>
                                      <w:t>ackground of UHC</w:t>
                                    </w:r>
                                    <w:r>
                                      <w:rPr>
                                        <w:b/>
                                        <w:color w:val="7030A0"/>
                                        <w:sz w:val="16"/>
                                        <w:szCs w:val="16"/>
                                      </w:rPr>
                                      <w:t>/NHIF</w:t>
                                    </w:r>
                                  </w:p>
                                  <w:p w14:paraId="50A80D22" w14:textId="77777777" w:rsidR="002106CD" w:rsidRDefault="002106CD" w:rsidP="002106CD">
                                    <w:pPr>
                                      <w:spacing w:after="0"/>
                                      <w:rPr>
                                        <w:bCs/>
                                        <w:sz w:val="16"/>
                                        <w:szCs w:val="16"/>
                                      </w:rPr>
                                    </w:pPr>
                                    <w:r w:rsidRPr="004051C9">
                                      <w:rPr>
                                        <w:bCs/>
                                        <w:sz w:val="16"/>
                                        <w:szCs w:val="16"/>
                                      </w:rPr>
                                      <w:t>Background</w:t>
                                    </w:r>
                                    <w:r>
                                      <w:rPr>
                                        <w:bCs/>
                                        <w:sz w:val="16"/>
                                        <w:szCs w:val="16"/>
                                      </w:rPr>
                                      <w:t xml:space="preserve"> of UHC</w:t>
                                    </w:r>
                                    <w:r w:rsidRPr="004051C9">
                                      <w:rPr>
                                        <w:bCs/>
                                        <w:sz w:val="16"/>
                                        <w:szCs w:val="16"/>
                                      </w:rPr>
                                      <w:t xml:space="preserve">; </w:t>
                                    </w:r>
                                  </w:p>
                                  <w:p w14:paraId="5A0CBB00" w14:textId="77777777" w:rsidR="002106CD" w:rsidRDefault="002106CD" w:rsidP="002106CD">
                                    <w:pPr>
                                      <w:spacing w:after="0"/>
                                      <w:rPr>
                                        <w:bCs/>
                                        <w:sz w:val="16"/>
                                        <w:szCs w:val="16"/>
                                      </w:rPr>
                                    </w:pPr>
                                    <w:r w:rsidRPr="004051C9">
                                      <w:rPr>
                                        <w:bCs/>
                                        <w:sz w:val="16"/>
                                        <w:szCs w:val="16"/>
                                      </w:rPr>
                                      <w:t>Success</w:t>
                                    </w:r>
                                    <w:r>
                                      <w:rPr>
                                        <w:bCs/>
                                        <w:sz w:val="16"/>
                                        <w:szCs w:val="16"/>
                                      </w:rPr>
                                      <w:t xml:space="preserve"> of UHC</w:t>
                                    </w:r>
                                    <w:r w:rsidRPr="004051C9">
                                      <w:rPr>
                                        <w:bCs/>
                                        <w:sz w:val="16"/>
                                        <w:szCs w:val="16"/>
                                      </w:rPr>
                                      <w:t xml:space="preserve">; </w:t>
                                    </w:r>
                                  </w:p>
                                  <w:p w14:paraId="356ECD30" w14:textId="77777777" w:rsidR="002106CD" w:rsidRDefault="002106CD" w:rsidP="002106CD">
                                    <w:pPr>
                                      <w:spacing w:after="0"/>
                                      <w:rPr>
                                        <w:bCs/>
                                        <w:sz w:val="16"/>
                                        <w:szCs w:val="16"/>
                                      </w:rPr>
                                    </w:pPr>
                                    <w:r w:rsidRPr="004051C9">
                                      <w:rPr>
                                        <w:bCs/>
                                        <w:sz w:val="16"/>
                                        <w:szCs w:val="16"/>
                                      </w:rPr>
                                      <w:t>Constraints</w:t>
                                    </w:r>
                                    <w:r>
                                      <w:rPr>
                                        <w:bCs/>
                                        <w:sz w:val="16"/>
                                        <w:szCs w:val="16"/>
                                      </w:rPr>
                                      <w:t xml:space="preserve"> of UHC</w:t>
                                    </w:r>
                                    <w:r w:rsidRPr="004051C9">
                                      <w:rPr>
                                        <w:bCs/>
                                        <w:sz w:val="16"/>
                                        <w:szCs w:val="16"/>
                                      </w:rPr>
                                      <w:t xml:space="preserve">; and </w:t>
                                    </w:r>
                                  </w:p>
                                  <w:p w14:paraId="76C26A46" w14:textId="77777777" w:rsidR="002106CD" w:rsidRPr="004051C9" w:rsidRDefault="002106CD" w:rsidP="002106CD">
                                    <w:pPr>
                                      <w:spacing w:after="0"/>
                                      <w:rPr>
                                        <w:bCs/>
                                        <w:sz w:val="16"/>
                                        <w:szCs w:val="16"/>
                                      </w:rPr>
                                    </w:pPr>
                                    <w:r>
                                      <w:rPr>
                                        <w:bCs/>
                                        <w:sz w:val="16"/>
                                        <w:szCs w:val="16"/>
                                      </w:rPr>
                                      <w:t>UHC p</w:t>
                                    </w:r>
                                    <w:r w:rsidRPr="004051C9">
                                      <w:rPr>
                                        <w:bCs/>
                                        <w:sz w:val="16"/>
                                        <w:szCs w:val="16"/>
                                      </w:rPr>
                                      <w:t>olicy gaps.</w:t>
                                    </w:r>
                                  </w:p>
                                  <w:p w14:paraId="1B73F658" w14:textId="77777777" w:rsidR="002106CD" w:rsidRDefault="002106CD" w:rsidP="002106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Oval 12"/>
                              <wps:cNvSpPr/>
                              <wps:spPr>
                                <a:xfrm>
                                  <a:off x="4199709" y="587829"/>
                                  <a:ext cx="1657350" cy="2419350"/>
                                </a:xfrm>
                                <a:prstGeom prst="ellipse">
                                  <a:avLst/>
                                </a:prstGeom>
                              </wps:spPr>
                              <wps:style>
                                <a:lnRef idx="2">
                                  <a:schemeClr val="dk1"/>
                                </a:lnRef>
                                <a:fillRef idx="1">
                                  <a:schemeClr val="lt1"/>
                                </a:fillRef>
                                <a:effectRef idx="0">
                                  <a:schemeClr val="dk1"/>
                                </a:effectRef>
                                <a:fontRef idx="minor">
                                  <a:schemeClr val="dk1"/>
                                </a:fontRef>
                              </wps:style>
                              <wps:txbx>
                                <w:txbxContent>
                                  <w:p w14:paraId="4ABE4BA2" w14:textId="77777777" w:rsidR="002106CD" w:rsidRDefault="002106CD" w:rsidP="002106CD">
                                    <w:pPr>
                                      <w:jc w:val="center"/>
                                      <w:rPr>
                                        <w:b/>
                                        <w:color w:val="7030A0"/>
                                        <w:sz w:val="16"/>
                                        <w:szCs w:val="16"/>
                                      </w:rPr>
                                    </w:pPr>
                                    <w:r w:rsidRPr="00CB751E">
                                      <w:rPr>
                                        <w:b/>
                                        <w:color w:val="7030A0"/>
                                        <w:sz w:val="16"/>
                                        <w:szCs w:val="16"/>
                                      </w:rPr>
                                      <w:t>Increased government commitment to roll out UHC/NHIF</w:t>
                                    </w:r>
                                  </w:p>
                                  <w:p w14:paraId="01687280" w14:textId="77777777" w:rsidR="002106CD" w:rsidRPr="00CB751E" w:rsidRDefault="002106CD" w:rsidP="002106CD">
                                    <w:pPr>
                                      <w:spacing w:after="0"/>
                                      <w:rPr>
                                        <w:bCs/>
                                        <w:sz w:val="16"/>
                                        <w:szCs w:val="16"/>
                                      </w:rPr>
                                    </w:pPr>
                                    <w:r>
                                      <w:rPr>
                                        <w:bCs/>
                                        <w:sz w:val="16"/>
                                        <w:szCs w:val="16"/>
                                      </w:rPr>
                                      <w:t>-</w:t>
                                    </w:r>
                                    <w:r w:rsidRPr="00CB751E">
                                      <w:rPr>
                                        <w:bCs/>
                                        <w:sz w:val="16"/>
                                        <w:szCs w:val="16"/>
                                      </w:rPr>
                                      <w:t xml:space="preserve">Improved policy on UHC implementation </w:t>
                                    </w:r>
                                  </w:p>
                                  <w:p w14:paraId="1EFD5A84" w14:textId="77777777" w:rsidR="002106CD" w:rsidRPr="00CB751E" w:rsidRDefault="002106CD" w:rsidP="002106CD">
                                    <w:pPr>
                                      <w:spacing w:after="0"/>
                                      <w:rPr>
                                        <w:bCs/>
                                        <w:sz w:val="16"/>
                                        <w:szCs w:val="16"/>
                                      </w:rPr>
                                    </w:pPr>
                                    <w:r>
                                      <w:rPr>
                                        <w:bCs/>
                                        <w:sz w:val="16"/>
                                        <w:szCs w:val="16"/>
                                      </w:rPr>
                                      <w:t>-</w:t>
                                    </w:r>
                                    <w:r w:rsidRPr="00CB751E">
                                      <w:rPr>
                                        <w:bCs/>
                                        <w:sz w:val="16"/>
                                        <w:szCs w:val="16"/>
                                      </w:rPr>
                                      <w:t>Increased government commitment to roll out UHC</w:t>
                                    </w:r>
                                  </w:p>
                                  <w:p w14:paraId="78862E67" w14:textId="77777777" w:rsidR="002106CD" w:rsidRPr="00CB751E" w:rsidRDefault="002106CD" w:rsidP="002106CD">
                                    <w:pPr>
                                      <w:spacing w:after="0"/>
                                      <w:rPr>
                                        <w:bCs/>
                                        <w:sz w:val="16"/>
                                        <w:szCs w:val="16"/>
                                      </w:rPr>
                                    </w:pPr>
                                    <w:r>
                                      <w:rPr>
                                        <w:bCs/>
                                        <w:sz w:val="16"/>
                                        <w:szCs w:val="16"/>
                                      </w:rPr>
                                      <w:t>-</w:t>
                                    </w:r>
                                    <w:r w:rsidRPr="00CB751E">
                                      <w:rPr>
                                        <w:bCs/>
                                        <w:sz w:val="16"/>
                                        <w:szCs w:val="16"/>
                                      </w:rPr>
                                      <w:t>Increased uptake of UHC/NHIF amongst the Citizens</w:t>
                                    </w:r>
                                  </w:p>
                                  <w:p w14:paraId="4EAF1074" w14:textId="77777777" w:rsidR="002106CD" w:rsidRDefault="002106CD" w:rsidP="002106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a:off x="1606732" y="836023"/>
                                  <a:ext cx="594995" cy="330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flipV="1">
                                  <a:off x="1652452" y="2311037"/>
                                  <a:ext cx="521335"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a:off x="3905794" y="1787979"/>
                                  <a:ext cx="299720" cy="4571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a:off x="750026" y="26126"/>
                                  <a:ext cx="9525"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2963092" y="0"/>
                                  <a:ext cx="0" cy="676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a:off x="5047162" y="26126"/>
                                  <a:ext cx="19050" cy="581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3" name="Text Box 3"/>
                            <wps:cNvSpPr txBox="1"/>
                            <wps:spPr>
                              <a:xfrm>
                                <a:off x="411480" y="52252"/>
                                <a:ext cx="966470" cy="273867"/>
                              </a:xfrm>
                              <a:prstGeom prst="rect">
                                <a:avLst/>
                              </a:prstGeom>
                              <a:solidFill>
                                <a:schemeClr val="lt1"/>
                              </a:solidFill>
                              <a:ln w="6350">
                                <a:solidFill>
                                  <a:prstClr val="black"/>
                                </a:solidFill>
                              </a:ln>
                            </wps:spPr>
                            <wps:txbx>
                              <w:txbxContent>
                                <w:p w14:paraId="2D170B15" w14:textId="77777777" w:rsidR="002106CD" w:rsidRPr="00B53C87" w:rsidRDefault="002106CD" w:rsidP="002106CD">
                                  <w:pPr>
                                    <w:rPr>
                                      <w:sz w:val="20"/>
                                      <w:szCs w:val="20"/>
                                    </w:rPr>
                                  </w:pPr>
                                  <w:r w:rsidRPr="00B53C87">
                                    <w:rPr>
                                      <w:b/>
                                      <w:bCs/>
                                      <w:color w:val="7030A0"/>
                                      <w:sz w:val="20"/>
                                      <w:szCs w:val="20"/>
                                    </w:rPr>
                                    <w:t>Background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2423160" y="52252"/>
                                <a:ext cx="966470" cy="234496"/>
                              </a:xfrm>
                              <a:prstGeom prst="rect">
                                <a:avLst/>
                              </a:prstGeom>
                              <a:solidFill>
                                <a:schemeClr val="lt1"/>
                              </a:solidFill>
                              <a:ln w="6350">
                                <a:solidFill>
                                  <a:prstClr val="black"/>
                                </a:solidFill>
                              </a:ln>
                            </wps:spPr>
                            <wps:txbx>
                              <w:txbxContent>
                                <w:p w14:paraId="6810EF68" w14:textId="77777777" w:rsidR="002106CD" w:rsidRPr="00B53C87" w:rsidRDefault="002106CD" w:rsidP="002106CD">
                                  <w:pPr>
                                    <w:rPr>
                                      <w:sz w:val="20"/>
                                      <w:szCs w:val="20"/>
                                    </w:rPr>
                                  </w:pPr>
                                  <w:r>
                                    <w:rPr>
                                      <w:b/>
                                      <w:bCs/>
                                      <w:color w:val="7030A0"/>
                                      <w:sz w:val="20"/>
                                      <w:szCs w:val="20"/>
                                    </w:rPr>
                                    <w:t>Advocacy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4552406" y="0"/>
                                <a:ext cx="966470" cy="234496"/>
                              </a:xfrm>
                              <a:prstGeom prst="rect">
                                <a:avLst/>
                              </a:prstGeom>
                              <a:solidFill>
                                <a:schemeClr val="lt1"/>
                              </a:solidFill>
                              <a:ln w="6350">
                                <a:solidFill>
                                  <a:prstClr val="black"/>
                                </a:solidFill>
                              </a:ln>
                            </wps:spPr>
                            <wps:txbx>
                              <w:txbxContent>
                                <w:p w14:paraId="6CBD4D42" w14:textId="77777777" w:rsidR="002106CD" w:rsidRPr="00B53C87" w:rsidRDefault="002106CD" w:rsidP="002106CD">
                                  <w:pPr>
                                    <w:rPr>
                                      <w:sz w:val="20"/>
                                      <w:szCs w:val="20"/>
                                    </w:rPr>
                                  </w:pPr>
                                  <w:r>
                                    <w:rPr>
                                      <w:b/>
                                      <w:bCs/>
                                      <w:color w:val="7030A0"/>
                                      <w:sz w:val="20"/>
                                      <w:szCs w:val="20"/>
                                    </w:rPr>
                                    <w:t>Outcomes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1" name="Text Box 21"/>
                        <wps:cNvSpPr txBox="1"/>
                        <wps:spPr>
                          <a:xfrm>
                            <a:off x="0" y="3461385"/>
                            <a:ext cx="2190750" cy="250825"/>
                          </a:xfrm>
                          <a:prstGeom prst="rect">
                            <a:avLst/>
                          </a:prstGeom>
                          <a:solidFill>
                            <a:prstClr val="white"/>
                          </a:solidFill>
                          <a:ln>
                            <a:noFill/>
                          </a:ln>
                        </wps:spPr>
                        <wps:txbx>
                          <w:txbxContent>
                            <w:p w14:paraId="3549CD12" w14:textId="536FEAD8" w:rsidR="002106CD" w:rsidRPr="005A5D69" w:rsidRDefault="002106CD" w:rsidP="002106CD">
                              <w:pPr>
                                <w:pStyle w:val="Caption"/>
                                <w:rPr>
                                  <w:noProof/>
                                  <w:color w:val="auto"/>
                                  <w:sz w:val="16"/>
                                  <w:szCs w:val="16"/>
                                </w:rPr>
                              </w:pPr>
                              <w:r w:rsidRPr="005A5D69">
                                <w:rPr>
                                  <w:color w:val="auto"/>
                                  <w:sz w:val="16"/>
                                  <w:szCs w:val="16"/>
                                </w:rPr>
                                <w:t xml:space="preserve">Figure </w:t>
                              </w:r>
                              <w:r w:rsidR="00C225BE">
                                <w:rPr>
                                  <w:color w:val="auto"/>
                                  <w:sz w:val="16"/>
                                  <w:szCs w:val="16"/>
                                </w:rPr>
                                <w:t>1</w:t>
                              </w:r>
                              <w:r w:rsidRPr="005A5D69">
                                <w:rPr>
                                  <w:color w:val="auto"/>
                                  <w:sz w:val="16"/>
                                  <w:szCs w:val="16"/>
                                </w:rPr>
                                <w:t>: TOC in relation to objectives and outcomes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34D3D81" id="Group 17" o:spid="_x0000_s1026" style="position:absolute;left:0;text-align:left;margin-left:0;margin-top:23.45pt;width:471.8pt;height:292.3pt;z-index:251659264" coordsize="59922,37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">
                <v:group id="Group 16" o:spid="_x0000_s1027" style="position:absolute;left:130;width:59792;height:33702" coordsize="61626,3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202" coordsize="21600,21600" o:spt="202" path="m,l,21600r21600,l21600,xe">
                    <v:stroke joinstyle="miter"/>
                    <v:path gradientshapeok="t" o:connecttype="rect"/>
                  </v:shapetype>
                  <v:shape id="Text Box 18" o:spid="_x0000_s1028" type="#_x0000_t202" style="position:absolute;width:61626;height:3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" fillcolor="white [3201]" strokeweight=".5pt">
                    <v:textbox>
                      <w:txbxContent>
                        <w:p w14:paraId="3C46E4BD" w14:textId="77777777" w:rsidR="002106CD" w:rsidRPr="005A5D69" w:rsidRDefault="002106CD" w:rsidP="002106CD">
                          <w:pPr>
                            <w:rPr>
                              <w:b/>
                              <w:bCs/>
                              <w:color w:val="7030A0"/>
                            </w:rPr>
                          </w:pPr>
                          <w:r w:rsidRPr="005A5D69">
                            <w:rPr>
                              <w:b/>
                              <w:bCs/>
                              <w:color w:val="7030A0"/>
                            </w:rPr>
                            <w:t xml:space="preserve"> </w:t>
                          </w:r>
                          <w:r>
                            <w:rPr>
                              <w:b/>
                              <w:bCs/>
                              <w:color w:val="7030A0"/>
                            </w:rPr>
                            <w:t xml:space="preserve">               </w:t>
                          </w:r>
                          <w:r w:rsidRPr="005A5D69">
                            <w:rPr>
                              <w:b/>
                              <w:bCs/>
                              <w:color w:val="7030A0"/>
                            </w:rPr>
                            <w:tab/>
                          </w:r>
                          <w:r w:rsidRPr="005A5D69">
                            <w:rPr>
                              <w:b/>
                              <w:bCs/>
                              <w:color w:val="7030A0"/>
                            </w:rPr>
                            <w:tab/>
                          </w:r>
                          <w:r w:rsidRPr="005A5D69">
                            <w:rPr>
                              <w:b/>
                              <w:bCs/>
                              <w:color w:val="7030A0"/>
                            </w:rPr>
                            <w:tab/>
                          </w:r>
                          <w:r>
                            <w:rPr>
                              <w:b/>
                              <w:bCs/>
                              <w:color w:val="7030A0"/>
                            </w:rPr>
                            <w:t xml:space="preserve">      </w:t>
                          </w:r>
                        </w:p>
                        <w:p w14:paraId="06C1EB13" w14:textId="77777777" w:rsidR="002106CD" w:rsidRDefault="002106CD" w:rsidP="002106CD"/>
                        <w:p w14:paraId="5863E528" w14:textId="77777777" w:rsidR="002106CD" w:rsidRDefault="002106CD" w:rsidP="002106CD"/>
                        <w:p w14:paraId="0B5B24A6" w14:textId="77777777" w:rsidR="002106CD" w:rsidRDefault="002106CD" w:rsidP="002106CD"/>
                        <w:p w14:paraId="4299A41C" w14:textId="77777777" w:rsidR="002106CD" w:rsidRDefault="002106CD" w:rsidP="002106CD"/>
                        <w:p w14:paraId="1B399BAB" w14:textId="77777777" w:rsidR="002106CD" w:rsidRDefault="002106CD" w:rsidP="002106CD"/>
                        <w:p w14:paraId="0C15AC44" w14:textId="77777777" w:rsidR="002106CD" w:rsidRDefault="002106CD" w:rsidP="002106CD"/>
                        <w:p w14:paraId="367E6892" w14:textId="77777777" w:rsidR="002106CD" w:rsidRDefault="002106CD" w:rsidP="002106CD"/>
                        <w:p w14:paraId="2A7E87E6" w14:textId="77777777" w:rsidR="002106CD" w:rsidRDefault="002106CD" w:rsidP="002106CD"/>
                        <w:p w14:paraId="53305ABF" w14:textId="77777777" w:rsidR="002106CD" w:rsidRPr="00F55471" w:rsidRDefault="002106CD" w:rsidP="002106CD"/>
                      </w:txbxContent>
                    </v:textbox>
                  </v:shape>
                  <v:group id="Group 10" o:spid="_x0000_s1029" style="position:absolute;left:1567;top:261;width:58571;height:33822" coordsize="58570,33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2" o:spid="_x0000_s1030" style="position:absolute;top:2090;width:58570;height:31731" coordsize="58570,3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oval id="Oval 20" o:spid="_x0000_s1031" style="position:absolute;left:20574;top:6727;width:18383;height:22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" fillcolor="white [3201]" strokecolor="black [3200]" strokeweight="2pt">
                        <v:textbox>
                          <w:txbxContent>
                            <w:p w14:paraId="01162336" w14:textId="77777777" w:rsidR="002106CD" w:rsidRPr="004051C9" w:rsidRDefault="002106CD" w:rsidP="002106CD">
                              <w:pPr>
                                <w:jc w:val="center"/>
                                <w:rPr>
                                  <w:b/>
                                  <w:color w:val="7030A0"/>
                                  <w:sz w:val="16"/>
                                  <w:szCs w:val="16"/>
                                </w:rPr>
                              </w:pPr>
                              <w:r w:rsidRPr="004051C9">
                                <w:rPr>
                                  <w:b/>
                                  <w:color w:val="7030A0"/>
                                  <w:sz w:val="16"/>
                                  <w:szCs w:val="16"/>
                                </w:rPr>
                                <w:t>Advocacy agenda of CSOs on UHC</w:t>
                              </w:r>
                            </w:p>
                            <w:p w14:paraId="49518F94" w14:textId="77777777" w:rsidR="002106CD" w:rsidRPr="004051C9" w:rsidRDefault="002106CD" w:rsidP="002106CD">
                              <w:pPr>
                                <w:rPr>
                                  <w:sz w:val="16"/>
                                  <w:szCs w:val="16"/>
                                </w:rPr>
                              </w:pPr>
                              <w:r>
                                <w:rPr>
                                  <w:sz w:val="16"/>
                                  <w:szCs w:val="16"/>
                                </w:rPr>
                                <w:t>-</w:t>
                              </w:r>
                              <w:r w:rsidRPr="004051C9">
                                <w:rPr>
                                  <w:sz w:val="16"/>
                                  <w:szCs w:val="16"/>
                                </w:rPr>
                                <w:t xml:space="preserve">Priority issues </w:t>
                              </w:r>
                              <w:r>
                                <w:rPr>
                                  <w:sz w:val="16"/>
                                  <w:szCs w:val="16"/>
                                </w:rPr>
                                <w:t xml:space="preserve">on advocacy </w:t>
                              </w:r>
                              <w:r w:rsidRPr="004051C9">
                                <w:rPr>
                                  <w:sz w:val="16"/>
                                  <w:szCs w:val="16"/>
                                </w:rPr>
                                <w:t>to improve UHC/NHIF</w:t>
                              </w:r>
                            </w:p>
                            <w:p w14:paraId="58FE0D1D" w14:textId="77777777" w:rsidR="002106CD" w:rsidRPr="004051C9" w:rsidRDefault="002106CD" w:rsidP="002106CD">
                              <w:r>
                                <w:rPr>
                                  <w:sz w:val="16"/>
                                  <w:szCs w:val="16"/>
                                </w:rPr>
                                <w:t>-</w:t>
                              </w:r>
                              <w:r w:rsidRPr="004051C9">
                                <w:rPr>
                                  <w:sz w:val="16"/>
                                  <w:szCs w:val="16"/>
                                </w:rPr>
                                <w:t>Develop an advocacy strategy for CSOs engagement with</w:t>
                              </w:r>
                              <w:r>
                                <w:t xml:space="preserve"> </w:t>
                              </w:r>
                              <w:r w:rsidRPr="004051C9">
                                <w:rPr>
                                  <w:sz w:val="16"/>
                                  <w:szCs w:val="16"/>
                                </w:rPr>
                                <w:t>MOH</w:t>
                              </w:r>
                              <w:r>
                                <w:rPr>
                                  <w:sz w:val="16"/>
                                  <w:szCs w:val="16"/>
                                </w:rPr>
                                <w:t xml:space="preserve"> </w:t>
                              </w:r>
                              <w:r w:rsidRPr="004051C9">
                                <w:rPr>
                                  <w:sz w:val="16"/>
                                  <w:szCs w:val="16"/>
                                </w:rPr>
                                <w:t>to improve Government investment on UHC</w:t>
                              </w:r>
                            </w:p>
                          </w:txbxContent>
                        </v:textbox>
                      </v:oval>
                      <v:oval id="Oval 19" o:spid="_x0000_s1032" style="position:absolute;left:522;top:17634;width:16288;height:1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" fillcolor="white [3201]" strokecolor="black [3200]" strokeweight="2pt">
                        <v:textbox>
                          <w:txbxContent>
                            <w:p w14:paraId="2549E981" w14:textId="77777777" w:rsidR="002106CD" w:rsidRPr="004051C9" w:rsidRDefault="002106CD" w:rsidP="002106CD">
                              <w:pPr>
                                <w:spacing w:after="0"/>
                                <w:jc w:val="center"/>
                                <w:rPr>
                                  <w:b/>
                                  <w:color w:val="7030A0"/>
                                  <w:sz w:val="16"/>
                                  <w:szCs w:val="16"/>
                                </w:rPr>
                              </w:pPr>
                              <w:r w:rsidRPr="004051C9">
                                <w:rPr>
                                  <w:b/>
                                  <w:color w:val="7030A0"/>
                                  <w:sz w:val="16"/>
                                  <w:szCs w:val="16"/>
                                </w:rPr>
                                <w:t>Engagement of CSOs</w:t>
                              </w:r>
                            </w:p>
                            <w:p w14:paraId="1F8FB6C8" w14:textId="77777777" w:rsidR="002106CD" w:rsidRPr="004051C9" w:rsidRDefault="002106CD" w:rsidP="002106CD">
                              <w:pPr>
                                <w:spacing w:after="0"/>
                                <w:rPr>
                                  <w:bCs/>
                                  <w:sz w:val="16"/>
                                  <w:szCs w:val="16"/>
                                </w:rPr>
                              </w:pPr>
                              <w:r>
                                <w:rPr>
                                  <w:bCs/>
                                  <w:sz w:val="16"/>
                                  <w:szCs w:val="16"/>
                                </w:rPr>
                                <w:t>-</w:t>
                              </w:r>
                              <w:r w:rsidRPr="004051C9">
                                <w:rPr>
                                  <w:bCs/>
                                  <w:sz w:val="16"/>
                                  <w:szCs w:val="16"/>
                                </w:rPr>
                                <w:t>No. of CSOs engaged</w:t>
                              </w:r>
                              <w:r>
                                <w:rPr>
                                  <w:bCs/>
                                  <w:sz w:val="16"/>
                                  <w:szCs w:val="16"/>
                                </w:rPr>
                                <w:t xml:space="preserve"> in UHC agenda</w:t>
                              </w:r>
                            </w:p>
                            <w:p w14:paraId="6763E3FB" w14:textId="77777777" w:rsidR="002106CD" w:rsidRPr="004051C9" w:rsidRDefault="002106CD" w:rsidP="002106CD">
                              <w:pPr>
                                <w:spacing w:after="0"/>
                                <w:rPr>
                                  <w:bCs/>
                                  <w:sz w:val="16"/>
                                  <w:szCs w:val="16"/>
                                </w:rPr>
                              </w:pPr>
                              <w:r>
                                <w:rPr>
                                  <w:bCs/>
                                  <w:sz w:val="16"/>
                                  <w:szCs w:val="16"/>
                                </w:rPr>
                                <w:t>-</w:t>
                              </w:r>
                              <w:r w:rsidRPr="004051C9">
                                <w:rPr>
                                  <w:bCs/>
                                  <w:sz w:val="16"/>
                                  <w:szCs w:val="16"/>
                                </w:rPr>
                                <w:t>Reforms championed by the CSOs</w:t>
                              </w:r>
                            </w:p>
                            <w:p w14:paraId="7E2DFF67" w14:textId="77777777" w:rsidR="002106CD" w:rsidRDefault="002106CD" w:rsidP="002106CD">
                              <w:pPr>
                                <w:spacing w:after="0"/>
                                <w:rPr>
                                  <w:bCs/>
                                  <w:sz w:val="16"/>
                                  <w:szCs w:val="16"/>
                                </w:rPr>
                              </w:pPr>
                              <w:r>
                                <w:rPr>
                                  <w:bCs/>
                                  <w:sz w:val="16"/>
                                  <w:szCs w:val="16"/>
                                </w:rPr>
                                <w:t>-</w:t>
                              </w:r>
                              <w:r w:rsidRPr="004051C9">
                                <w:rPr>
                                  <w:bCs/>
                                  <w:sz w:val="16"/>
                                  <w:szCs w:val="16"/>
                                </w:rPr>
                                <w:t>CSOs challenges</w:t>
                              </w:r>
                              <w:r>
                                <w:rPr>
                                  <w:bCs/>
                                  <w:sz w:val="16"/>
                                  <w:szCs w:val="16"/>
                                </w:rPr>
                                <w:t xml:space="preserve"> in championing for UHC</w:t>
                              </w:r>
                            </w:p>
                            <w:p w14:paraId="45AC0FD9" w14:textId="77777777" w:rsidR="002106CD" w:rsidRPr="004051C9" w:rsidRDefault="002106CD" w:rsidP="002106CD">
                              <w:pPr>
                                <w:spacing w:after="0"/>
                                <w:rPr>
                                  <w:bCs/>
                                  <w:sz w:val="16"/>
                                  <w:szCs w:val="16"/>
                                </w:rPr>
                              </w:pPr>
                              <w:r>
                                <w:rPr>
                                  <w:bCs/>
                                  <w:sz w:val="16"/>
                                  <w:szCs w:val="16"/>
                                </w:rPr>
                                <w:t>-</w:t>
                              </w:r>
                              <w:r w:rsidRPr="004051C9">
                                <w:rPr>
                                  <w:bCs/>
                                  <w:sz w:val="16"/>
                                  <w:szCs w:val="16"/>
                                </w:rPr>
                                <w:t xml:space="preserve">CSOs </w:t>
                              </w:r>
                              <w:r>
                                <w:rPr>
                                  <w:bCs/>
                                  <w:sz w:val="16"/>
                                  <w:szCs w:val="16"/>
                                </w:rPr>
                                <w:t xml:space="preserve"> </w:t>
                              </w:r>
                              <w:r w:rsidRPr="004051C9">
                                <w:rPr>
                                  <w:bCs/>
                                  <w:sz w:val="16"/>
                                  <w:szCs w:val="16"/>
                                </w:rPr>
                                <w:t>recommendations</w:t>
                              </w:r>
                            </w:p>
                            <w:p w14:paraId="74E8D45E" w14:textId="77777777" w:rsidR="002106CD" w:rsidRDefault="002106CD" w:rsidP="002106CD">
                              <w:pPr>
                                <w:jc w:val="center"/>
                              </w:pPr>
                            </w:p>
                          </w:txbxContent>
                        </v:textbox>
                      </v:oval>
                      <v:oval id="Oval 11" o:spid="_x0000_s1033" style="position:absolute;top:2939;width:16002;height:1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" fillcolor="white [3201]" strokecolor="black [3200]" strokeweight="2pt">
                        <v:textbox>
                          <w:txbxContent>
                            <w:p w14:paraId="23280081" w14:textId="77777777" w:rsidR="002106CD" w:rsidRPr="00094E9F" w:rsidRDefault="002106CD" w:rsidP="002106CD">
                              <w:pPr>
                                <w:spacing w:after="0"/>
                                <w:jc w:val="center"/>
                                <w:rPr>
                                  <w:b/>
                                  <w:color w:val="7030A0"/>
                                  <w:sz w:val="16"/>
                                  <w:szCs w:val="16"/>
                                </w:rPr>
                              </w:pPr>
                              <w:r>
                                <w:rPr>
                                  <w:b/>
                                  <w:color w:val="7030A0"/>
                                  <w:sz w:val="16"/>
                                  <w:szCs w:val="16"/>
                                </w:rPr>
                                <w:t>B</w:t>
                              </w:r>
                              <w:r w:rsidRPr="00094E9F">
                                <w:rPr>
                                  <w:b/>
                                  <w:color w:val="7030A0"/>
                                  <w:sz w:val="16"/>
                                  <w:szCs w:val="16"/>
                                </w:rPr>
                                <w:t>ackground of UHC</w:t>
                              </w:r>
                              <w:r>
                                <w:rPr>
                                  <w:b/>
                                  <w:color w:val="7030A0"/>
                                  <w:sz w:val="16"/>
                                  <w:szCs w:val="16"/>
                                </w:rPr>
                                <w:t>/NHIF</w:t>
                              </w:r>
                            </w:p>
                            <w:p w14:paraId="50A80D22" w14:textId="77777777" w:rsidR="002106CD" w:rsidRDefault="002106CD" w:rsidP="002106CD">
                              <w:pPr>
                                <w:spacing w:after="0"/>
                                <w:rPr>
                                  <w:bCs/>
                                  <w:sz w:val="16"/>
                                  <w:szCs w:val="16"/>
                                </w:rPr>
                              </w:pPr>
                              <w:r w:rsidRPr="004051C9">
                                <w:rPr>
                                  <w:bCs/>
                                  <w:sz w:val="16"/>
                                  <w:szCs w:val="16"/>
                                </w:rPr>
                                <w:t>Background</w:t>
                              </w:r>
                              <w:r>
                                <w:rPr>
                                  <w:bCs/>
                                  <w:sz w:val="16"/>
                                  <w:szCs w:val="16"/>
                                </w:rPr>
                                <w:t xml:space="preserve"> of UHC</w:t>
                              </w:r>
                              <w:r w:rsidRPr="004051C9">
                                <w:rPr>
                                  <w:bCs/>
                                  <w:sz w:val="16"/>
                                  <w:szCs w:val="16"/>
                                </w:rPr>
                                <w:t xml:space="preserve">; </w:t>
                              </w:r>
                            </w:p>
                            <w:p w14:paraId="5A0CBB00" w14:textId="77777777" w:rsidR="002106CD" w:rsidRDefault="002106CD" w:rsidP="002106CD">
                              <w:pPr>
                                <w:spacing w:after="0"/>
                                <w:rPr>
                                  <w:bCs/>
                                  <w:sz w:val="16"/>
                                  <w:szCs w:val="16"/>
                                </w:rPr>
                              </w:pPr>
                              <w:r w:rsidRPr="004051C9">
                                <w:rPr>
                                  <w:bCs/>
                                  <w:sz w:val="16"/>
                                  <w:szCs w:val="16"/>
                                </w:rPr>
                                <w:t>Success</w:t>
                              </w:r>
                              <w:r>
                                <w:rPr>
                                  <w:bCs/>
                                  <w:sz w:val="16"/>
                                  <w:szCs w:val="16"/>
                                </w:rPr>
                                <w:t xml:space="preserve"> of UHC</w:t>
                              </w:r>
                              <w:r w:rsidRPr="004051C9">
                                <w:rPr>
                                  <w:bCs/>
                                  <w:sz w:val="16"/>
                                  <w:szCs w:val="16"/>
                                </w:rPr>
                                <w:t xml:space="preserve">; </w:t>
                              </w:r>
                            </w:p>
                            <w:p w14:paraId="356ECD30" w14:textId="77777777" w:rsidR="002106CD" w:rsidRDefault="002106CD" w:rsidP="002106CD">
                              <w:pPr>
                                <w:spacing w:after="0"/>
                                <w:rPr>
                                  <w:bCs/>
                                  <w:sz w:val="16"/>
                                  <w:szCs w:val="16"/>
                                </w:rPr>
                              </w:pPr>
                              <w:r w:rsidRPr="004051C9">
                                <w:rPr>
                                  <w:bCs/>
                                  <w:sz w:val="16"/>
                                  <w:szCs w:val="16"/>
                                </w:rPr>
                                <w:t>Constraints</w:t>
                              </w:r>
                              <w:r>
                                <w:rPr>
                                  <w:bCs/>
                                  <w:sz w:val="16"/>
                                  <w:szCs w:val="16"/>
                                </w:rPr>
                                <w:t xml:space="preserve"> of UHC</w:t>
                              </w:r>
                              <w:r w:rsidRPr="004051C9">
                                <w:rPr>
                                  <w:bCs/>
                                  <w:sz w:val="16"/>
                                  <w:szCs w:val="16"/>
                                </w:rPr>
                                <w:t xml:space="preserve">; and </w:t>
                              </w:r>
                            </w:p>
                            <w:p w14:paraId="76C26A46" w14:textId="77777777" w:rsidR="002106CD" w:rsidRPr="004051C9" w:rsidRDefault="002106CD" w:rsidP="002106CD">
                              <w:pPr>
                                <w:spacing w:after="0"/>
                                <w:rPr>
                                  <w:bCs/>
                                  <w:sz w:val="16"/>
                                  <w:szCs w:val="16"/>
                                </w:rPr>
                              </w:pPr>
                              <w:r>
                                <w:rPr>
                                  <w:bCs/>
                                  <w:sz w:val="16"/>
                                  <w:szCs w:val="16"/>
                                </w:rPr>
                                <w:t>UHC p</w:t>
                              </w:r>
                              <w:r w:rsidRPr="004051C9">
                                <w:rPr>
                                  <w:bCs/>
                                  <w:sz w:val="16"/>
                                  <w:szCs w:val="16"/>
                                </w:rPr>
                                <w:t>olicy gaps.</w:t>
                              </w:r>
                            </w:p>
                            <w:p w14:paraId="1B73F658" w14:textId="77777777" w:rsidR="002106CD" w:rsidRDefault="002106CD" w:rsidP="002106CD">
                              <w:pPr>
                                <w:jc w:val="center"/>
                              </w:pPr>
                            </w:p>
                          </w:txbxContent>
                        </v:textbox>
                      </v:oval>
                      <v:oval id="Oval 12" o:spid="_x0000_s1034" style="position:absolute;left:41997;top:5878;width:16573;height:24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" fillcolor="white [3201]" strokecolor="black [3200]" strokeweight="2pt">
                        <v:textbox>
                          <w:txbxContent>
                            <w:p w14:paraId="4ABE4BA2" w14:textId="77777777" w:rsidR="002106CD" w:rsidRDefault="002106CD" w:rsidP="002106CD">
                              <w:pPr>
                                <w:jc w:val="center"/>
                                <w:rPr>
                                  <w:b/>
                                  <w:color w:val="7030A0"/>
                                  <w:sz w:val="16"/>
                                  <w:szCs w:val="16"/>
                                </w:rPr>
                              </w:pPr>
                              <w:r w:rsidRPr="00CB751E">
                                <w:rPr>
                                  <w:b/>
                                  <w:color w:val="7030A0"/>
                                  <w:sz w:val="16"/>
                                  <w:szCs w:val="16"/>
                                </w:rPr>
                                <w:t>Increased government commitment to roll out UHC/NHIF</w:t>
                              </w:r>
                            </w:p>
                            <w:p w14:paraId="01687280" w14:textId="77777777" w:rsidR="002106CD" w:rsidRPr="00CB751E" w:rsidRDefault="002106CD" w:rsidP="002106CD">
                              <w:pPr>
                                <w:spacing w:after="0"/>
                                <w:rPr>
                                  <w:bCs/>
                                  <w:sz w:val="16"/>
                                  <w:szCs w:val="16"/>
                                </w:rPr>
                              </w:pPr>
                              <w:r>
                                <w:rPr>
                                  <w:bCs/>
                                  <w:sz w:val="16"/>
                                  <w:szCs w:val="16"/>
                                </w:rPr>
                                <w:t>-</w:t>
                              </w:r>
                              <w:r w:rsidRPr="00CB751E">
                                <w:rPr>
                                  <w:bCs/>
                                  <w:sz w:val="16"/>
                                  <w:szCs w:val="16"/>
                                </w:rPr>
                                <w:t xml:space="preserve">Improved policy on UHC implementation </w:t>
                              </w:r>
                            </w:p>
                            <w:p w14:paraId="1EFD5A84" w14:textId="77777777" w:rsidR="002106CD" w:rsidRPr="00CB751E" w:rsidRDefault="002106CD" w:rsidP="002106CD">
                              <w:pPr>
                                <w:spacing w:after="0"/>
                                <w:rPr>
                                  <w:bCs/>
                                  <w:sz w:val="16"/>
                                  <w:szCs w:val="16"/>
                                </w:rPr>
                              </w:pPr>
                              <w:r>
                                <w:rPr>
                                  <w:bCs/>
                                  <w:sz w:val="16"/>
                                  <w:szCs w:val="16"/>
                                </w:rPr>
                                <w:t>-</w:t>
                              </w:r>
                              <w:r w:rsidRPr="00CB751E">
                                <w:rPr>
                                  <w:bCs/>
                                  <w:sz w:val="16"/>
                                  <w:szCs w:val="16"/>
                                </w:rPr>
                                <w:t>Increased government commitment to roll out UHC</w:t>
                              </w:r>
                            </w:p>
                            <w:p w14:paraId="78862E67" w14:textId="77777777" w:rsidR="002106CD" w:rsidRPr="00CB751E" w:rsidRDefault="002106CD" w:rsidP="002106CD">
                              <w:pPr>
                                <w:spacing w:after="0"/>
                                <w:rPr>
                                  <w:bCs/>
                                  <w:sz w:val="16"/>
                                  <w:szCs w:val="16"/>
                                </w:rPr>
                              </w:pPr>
                              <w:r>
                                <w:rPr>
                                  <w:bCs/>
                                  <w:sz w:val="16"/>
                                  <w:szCs w:val="16"/>
                                </w:rPr>
                                <w:t>-</w:t>
                              </w:r>
                              <w:r w:rsidRPr="00CB751E">
                                <w:rPr>
                                  <w:bCs/>
                                  <w:sz w:val="16"/>
                                  <w:szCs w:val="16"/>
                                </w:rPr>
                                <w:t>Increased uptake of UHC/NHIF amongst the Citizens</w:t>
                              </w:r>
                            </w:p>
                            <w:p w14:paraId="4EAF1074" w14:textId="77777777" w:rsidR="002106CD" w:rsidRDefault="002106CD" w:rsidP="002106CD">
                              <w:pPr>
                                <w:jc w:val="center"/>
                              </w:pPr>
                            </w:p>
                          </w:txbxContent>
                        </v:textbox>
                      </v:oval>
                      <v:shapetype id="_x0000_t32" coordsize="21600,21600" o:spt="32" o:oned="t" path="m,l21600,21600e" filled="f">
                        <v:path arrowok="t" fillok="f" o:connecttype="none"/>
                        <o:lock v:ext="edit" shapetype="t"/>
                      </v:shapetype>
                      <v:shape id="Straight Arrow Connector 13" o:spid="_x0000_s1035" type="#_x0000_t32" style="position:absolute;left:16067;top:8360;width:5950;height:33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" strokecolor="#4579b8 [3044]">
                        <v:stroke endarrow="open"/>
                      </v:shape>
                      <v:shape id="Straight Arrow Connector 14" o:spid="_x0000_s1036" type="#_x0000_t32" style="position:absolute;left:16524;top:23110;width:5213;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" strokecolor="#4579b8 [3044]">
                        <v:stroke endarrow="open"/>
                      </v:shape>
                      <v:shape id="Straight Arrow Connector 15" o:spid="_x0000_s1037" type="#_x0000_t32" style="position:absolute;left:39057;top:17879;width:2998;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" strokecolor="#4579b8 [3044]">
                        <v:stroke endarrow="open"/>
                      </v:shape>
                      <v:shape id="Straight Arrow Connector 22" o:spid="_x0000_s1038" type="#_x0000_t32" style="position:absolute;left:7500;top:261;width:95;height:2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" strokecolor="#4579b8 [3044]">
                        <v:stroke endarrow="block"/>
                      </v:shape>
                      <v:shape id="Straight Arrow Connector 23" o:spid="_x0000_s1039" type="#_x0000_t32" style="position:absolute;left:29630;width:0;height:6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" strokecolor="#4579b8 [3044]">
                        <v:stroke endarrow="block"/>
                      </v:shape>
                      <v:shape id="Straight Arrow Connector 24" o:spid="_x0000_s1040" type="#_x0000_t32" style="position:absolute;left:50471;top:261;width:191;height:5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" strokecolor="#4579b8 [3044]">
                        <v:stroke endarrow="block"/>
                      </v:shape>
                    </v:group>
                    <v:shape id="Text Box 3" o:spid="_x0000_s1041" type="#_x0000_t202" style="position:absolute;left:4114;top:522;width:9665;height:2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2D170B15" w14:textId="77777777" w:rsidR="002106CD" w:rsidRPr="00B53C87" w:rsidRDefault="002106CD" w:rsidP="002106CD">
                            <w:pPr>
                              <w:rPr>
                                <w:sz w:val="20"/>
                                <w:szCs w:val="20"/>
                              </w:rPr>
                            </w:pPr>
                            <w:r w:rsidRPr="00B53C87">
                              <w:rPr>
                                <w:b/>
                                <w:bCs/>
                                <w:color w:val="7030A0"/>
                                <w:sz w:val="20"/>
                                <w:szCs w:val="20"/>
                              </w:rPr>
                              <w:t>Background</w:t>
                            </w:r>
                          </w:p>
                        </w:txbxContent>
                      </v:textbox>
                    </v:shape>
                    <v:shape id="Text Box 4" o:spid="_x0000_s1042" type="#_x0000_t202" style="position:absolute;left:24231;top:522;width:9665;height: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14:paraId="6810EF68" w14:textId="77777777" w:rsidR="002106CD" w:rsidRPr="00B53C87" w:rsidRDefault="002106CD" w:rsidP="002106CD">
                            <w:pPr>
                              <w:rPr>
                                <w:sz w:val="20"/>
                                <w:szCs w:val="20"/>
                              </w:rPr>
                            </w:pPr>
                            <w:r>
                              <w:rPr>
                                <w:b/>
                                <w:bCs/>
                                <w:color w:val="7030A0"/>
                                <w:sz w:val="20"/>
                                <w:szCs w:val="20"/>
                              </w:rPr>
                              <w:t>Advocacy</w:t>
                            </w:r>
                          </w:p>
                        </w:txbxContent>
                      </v:textbox>
                    </v:shape>
                    <v:shape id="Text Box 9" o:spid="_x0000_s1043" type="#_x0000_t202" style="position:absolute;left:45524;width:9664;height:2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6CBD4D42" w14:textId="77777777" w:rsidR="002106CD" w:rsidRPr="00B53C87" w:rsidRDefault="002106CD" w:rsidP="002106CD">
                            <w:pPr>
                              <w:rPr>
                                <w:sz w:val="20"/>
                                <w:szCs w:val="20"/>
                              </w:rPr>
                            </w:pPr>
                            <w:r>
                              <w:rPr>
                                <w:b/>
                                <w:bCs/>
                                <w:color w:val="7030A0"/>
                                <w:sz w:val="20"/>
                                <w:szCs w:val="20"/>
                              </w:rPr>
                              <w:t>Outcomes</w:t>
                            </w:r>
                          </w:p>
                        </w:txbxContent>
                      </v:textbox>
                    </v:shape>
                  </v:group>
                </v:group>
                <v:shape id="Text Box 21" o:spid="_x0000_s1044" type="#_x0000_t202" style="position:absolute;top:34613;width:21907;height: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" stroked="f">
                  <v:textbox style="mso-fit-shape-to-text:t" inset="0,0,0,0">
                    <w:txbxContent>
                      <w:p w14:paraId="3549CD12" w14:textId="536FEAD8" w:rsidR="002106CD" w:rsidRPr="005A5D69" w:rsidRDefault="002106CD" w:rsidP="002106CD">
                        <w:pPr>
                          <w:pStyle w:val="Caption"/>
                          <w:rPr>
                            <w:noProof/>
                            <w:color w:val="auto"/>
                            <w:sz w:val="16"/>
                            <w:szCs w:val="16"/>
                          </w:rPr>
                        </w:pPr>
                        <w:r w:rsidRPr="005A5D69">
                          <w:rPr>
                            <w:color w:val="auto"/>
                            <w:sz w:val="16"/>
                            <w:szCs w:val="16"/>
                          </w:rPr>
                          <w:t xml:space="preserve">Figure </w:t>
                        </w:r>
                        <w:r w:rsidR="00C225BE">
                          <w:rPr>
                            <w:color w:val="auto"/>
                            <w:sz w:val="16"/>
                            <w:szCs w:val="16"/>
                          </w:rPr>
                          <w:t>1</w:t>
                        </w:r>
                        <w:r w:rsidRPr="005A5D69">
                          <w:rPr>
                            <w:color w:val="auto"/>
                            <w:sz w:val="16"/>
                            <w:szCs w:val="16"/>
                          </w:rPr>
                          <w:t>: TOC in relation to objectives and outcomes</w:t>
                        </w:r>
                      </w:p>
                    </w:txbxContent>
                  </v:textbox>
                </v:shape>
                <w10:wrap type="square"/>
              </v:group>
            </w:pict>
          </mc:Fallback>
        </mc:AlternateContent>
      </w:r>
    </w:p>
    <w:p w14:paraId="042649B2" w14:textId="77777777" w:rsidR="00D04F94" w:rsidRPr="00C225BE" w:rsidRDefault="00D04F94">
      <w:pPr>
        <w:pStyle w:val="Heading2"/>
        <w:spacing w:before="240" w:after="160" w:line="256" w:lineRule="auto"/>
        <w:jc w:val="both"/>
        <w:rPr>
          <w:rFonts w:asciiTheme="minorHAnsi" w:eastAsia="Cambria" w:hAnsiTheme="minorHAnsi" w:cs="Cambria"/>
          <w:color w:val="FF0000"/>
          <w:sz w:val="24"/>
          <w:szCs w:val="24"/>
        </w:rPr>
      </w:pPr>
      <w:bookmarkStart w:id="15" w:name="_6rg705sqk6o4" w:colFirst="0" w:colLast="0"/>
      <w:bookmarkEnd w:id="15"/>
    </w:p>
    <w:p w14:paraId="00E48D5F" w14:textId="77777777" w:rsidR="002106CD" w:rsidRPr="00C225BE" w:rsidRDefault="002106CD" w:rsidP="002106CD">
      <w:pPr>
        <w:rPr>
          <w:rFonts w:asciiTheme="minorHAnsi" w:hAnsiTheme="minorHAnsi"/>
          <w:sz w:val="24"/>
          <w:szCs w:val="24"/>
        </w:rPr>
      </w:pPr>
    </w:p>
    <w:p w14:paraId="15072ED6" w14:textId="77777777" w:rsidR="002106CD" w:rsidRPr="00C225BE" w:rsidRDefault="002106CD" w:rsidP="002106CD">
      <w:pPr>
        <w:rPr>
          <w:rFonts w:asciiTheme="minorHAnsi" w:hAnsiTheme="minorHAnsi"/>
          <w:sz w:val="24"/>
          <w:szCs w:val="24"/>
        </w:rPr>
      </w:pPr>
    </w:p>
    <w:p w14:paraId="44D33B1D" w14:textId="77777777" w:rsidR="002106CD" w:rsidRPr="00C225BE" w:rsidRDefault="002106CD" w:rsidP="002106CD">
      <w:pPr>
        <w:rPr>
          <w:rFonts w:asciiTheme="minorHAnsi" w:hAnsiTheme="minorHAnsi"/>
          <w:sz w:val="24"/>
          <w:szCs w:val="24"/>
        </w:rPr>
      </w:pPr>
    </w:p>
    <w:p w14:paraId="003CE565" w14:textId="77777777" w:rsidR="002106CD" w:rsidRPr="00C225BE" w:rsidRDefault="002106CD" w:rsidP="002106CD">
      <w:pPr>
        <w:rPr>
          <w:rFonts w:asciiTheme="minorHAnsi" w:hAnsiTheme="minorHAnsi"/>
          <w:sz w:val="24"/>
          <w:szCs w:val="24"/>
        </w:rPr>
      </w:pPr>
    </w:p>
    <w:p w14:paraId="1533D58A" w14:textId="77777777" w:rsidR="002106CD" w:rsidRPr="00C225BE" w:rsidRDefault="002106CD" w:rsidP="002106CD">
      <w:pPr>
        <w:rPr>
          <w:rFonts w:asciiTheme="minorHAnsi" w:hAnsiTheme="minorHAnsi"/>
          <w:sz w:val="24"/>
          <w:szCs w:val="24"/>
        </w:rPr>
      </w:pPr>
    </w:p>
    <w:p w14:paraId="41CB5341" w14:textId="77777777" w:rsidR="002106CD" w:rsidRPr="00C225BE" w:rsidRDefault="002106CD" w:rsidP="002106CD">
      <w:pPr>
        <w:rPr>
          <w:rFonts w:asciiTheme="minorHAnsi" w:hAnsiTheme="minorHAnsi"/>
          <w:sz w:val="24"/>
          <w:szCs w:val="24"/>
        </w:rPr>
      </w:pPr>
    </w:p>
    <w:p w14:paraId="7F82BB72" w14:textId="77777777" w:rsidR="002106CD" w:rsidRPr="00C225BE" w:rsidRDefault="002106CD" w:rsidP="002106CD">
      <w:pPr>
        <w:rPr>
          <w:rFonts w:asciiTheme="minorHAnsi" w:hAnsiTheme="minorHAnsi"/>
          <w:sz w:val="24"/>
          <w:szCs w:val="24"/>
        </w:rPr>
      </w:pPr>
    </w:p>
    <w:p w14:paraId="10ADACB3" w14:textId="77777777" w:rsidR="002106CD" w:rsidRPr="00C225BE" w:rsidRDefault="002106CD" w:rsidP="002106CD">
      <w:pPr>
        <w:rPr>
          <w:rFonts w:asciiTheme="minorHAnsi" w:hAnsiTheme="minorHAnsi"/>
          <w:sz w:val="24"/>
          <w:szCs w:val="24"/>
        </w:rPr>
      </w:pPr>
    </w:p>
    <w:p w14:paraId="7DABDE85" w14:textId="77777777" w:rsidR="002106CD" w:rsidRPr="00C225BE" w:rsidRDefault="002106CD" w:rsidP="002106CD">
      <w:pPr>
        <w:rPr>
          <w:rFonts w:asciiTheme="minorHAnsi" w:hAnsiTheme="minorHAnsi"/>
          <w:sz w:val="24"/>
          <w:szCs w:val="24"/>
        </w:rPr>
      </w:pPr>
    </w:p>
    <w:p w14:paraId="08C15566" w14:textId="77777777" w:rsidR="002106CD" w:rsidRPr="00C225BE" w:rsidRDefault="002106CD" w:rsidP="002106CD">
      <w:pPr>
        <w:rPr>
          <w:rFonts w:asciiTheme="minorHAnsi" w:hAnsiTheme="minorHAnsi"/>
          <w:sz w:val="24"/>
          <w:szCs w:val="24"/>
        </w:rPr>
      </w:pPr>
    </w:p>
    <w:p w14:paraId="1FBF78EC" w14:textId="77777777" w:rsidR="002106CD" w:rsidRPr="00C225BE" w:rsidRDefault="002106CD" w:rsidP="002106CD">
      <w:pPr>
        <w:rPr>
          <w:rFonts w:asciiTheme="minorHAnsi" w:hAnsiTheme="minorHAnsi"/>
          <w:sz w:val="24"/>
          <w:szCs w:val="24"/>
        </w:rPr>
      </w:pPr>
    </w:p>
    <w:p w14:paraId="6EADD1E8" w14:textId="77777777" w:rsidR="002106CD" w:rsidRPr="00C225BE" w:rsidRDefault="002106CD" w:rsidP="002106CD">
      <w:pPr>
        <w:rPr>
          <w:rFonts w:asciiTheme="minorHAnsi" w:hAnsiTheme="minorHAnsi"/>
          <w:sz w:val="24"/>
          <w:szCs w:val="24"/>
        </w:rPr>
      </w:pPr>
    </w:p>
    <w:p w14:paraId="3B51F40E" w14:textId="77777777" w:rsidR="002106CD" w:rsidRPr="00C225BE" w:rsidRDefault="002106CD" w:rsidP="002106CD">
      <w:pPr>
        <w:rPr>
          <w:rFonts w:asciiTheme="minorHAnsi" w:hAnsiTheme="minorHAnsi"/>
          <w:sz w:val="24"/>
          <w:szCs w:val="24"/>
        </w:rPr>
      </w:pPr>
    </w:p>
    <w:p w14:paraId="447D5C82" w14:textId="77777777" w:rsidR="002106CD" w:rsidRPr="00C225BE" w:rsidRDefault="002106CD" w:rsidP="002106CD">
      <w:pPr>
        <w:rPr>
          <w:rFonts w:asciiTheme="minorHAnsi" w:hAnsiTheme="minorHAnsi"/>
          <w:sz w:val="24"/>
          <w:szCs w:val="24"/>
        </w:rPr>
      </w:pPr>
    </w:p>
    <w:p w14:paraId="38C5A65C" w14:textId="77777777" w:rsidR="002106CD" w:rsidRPr="00C225BE" w:rsidRDefault="002106CD" w:rsidP="002106CD">
      <w:pPr>
        <w:rPr>
          <w:rFonts w:asciiTheme="minorHAnsi" w:hAnsiTheme="minorHAnsi"/>
          <w:sz w:val="24"/>
          <w:szCs w:val="24"/>
        </w:rPr>
      </w:pPr>
    </w:p>
    <w:p w14:paraId="3E1B66E3" w14:textId="77777777" w:rsidR="002106CD" w:rsidRPr="00C225BE" w:rsidRDefault="002106CD" w:rsidP="002106CD">
      <w:pPr>
        <w:rPr>
          <w:rFonts w:asciiTheme="minorHAnsi" w:hAnsiTheme="minorHAnsi"/>
          <w:sz w:val="24"/>
          <w:szCs w:val="24"/>
        </w:rPr>
      </w:pPr>
    </w:p>
    <w:p w14:paraId="4BE5F4B9" w14:textId="77777777" w:rsidR="00D04F94" w:rsidRPr="00C225BE" w:rsidRDefault="00D04F94">
      <w:pPr>
        <w:pStyle w:val="Heading2"/>
        <w:spacing w:before="240" w:after="160" w:line="256" w:lineRule="auto"/>
        <w:jc w:val="both"/>
        <w:rPr>
          <w:rFonts w:asciiTheme="minorHAnsi" w:eastAsia="Cambria" w:hAnsiTheme="minorHAnsi" w:cs="Cambria"/>
          <w:color w:val="FF0000"/>
          <w:sz w:val="24"/>
          <w:szCs w:val="24"/>
        </w:rPr>
      </w:pPr>
      <w:bookmarkStart w:id="16" w:name="_vmhu7pacru6l" w:colFirst="0" w:colLast="0"/>
      <w:bookmarkEnd w:id="16"/>
    </w:p>
    <w:p w14:paraId="4FEA4CD9" w14:textId="77777777" w:rsidR="00D04F94" w:rsidRPr="00C225BE" w:rsidRDefault="00D04F94">
      <w:pPr>
        <w:pStyle w:val="Heading2"/>
        <w:spacing w:before="240" w:after="160" w:line="256" w:lineRule="auto"/>
        <w:jc w:val="both"/>
        <w:rPr>
          <w:rFonts w:asciiTheme="minorHAnsi" w:eastAsia="Cambria" w:hAnsiTheme="minorHAnsi" w:cs="Cambria"/>
          <w:color w:val="FF0000"/>
          <w:sz w:val="24"/>
          <w:szCs w:val="24"/>
        </w:rPr>
      </w:pPr>
      <w:bookmarkStart w:id="17" w:name="_gje7omsxapju" w:colFirst="0" w:colLast="0"/>
      <w:bookmarkEnd w:id="17"/>
    </w:p>
    <w:p w14:paraId="6A931365" w14:textId="77777777" w:rsidR="00D2189C" w:rsidRPr="00C225BE" w:rsidRDefault="00D2189C" w:rsidP="00D2189C">
      <w:pPr>
        <w:rPr>
          <w:rFonts w:asciiTheme="minorHAnsi" w:hAnsiTheme="minorHAnsi"/>
          <w:sz w:val="24"/>
          <w:szCs w:val="24"/>
        </w:rPr>
      </w:pPr>
    </w:p>
    <w:p w14:paraId="275BFF7B" w14:textId="77777777" w:rsidR="00D04F94" w:rsidRPr="00C225BE" w:rsidRDefault="00000000" w:rsidP="00D2189C">
      <w:pPr>
        <w:pStyle w:val="Heading2"/>
        <w:rPr>
          <w:rFonts w:asciiTheme="minorHAnsi" w:hAnsiTheme="minorHAnsi"/>
          <w:sz w:val="24"/>
          <w:szCs w:val="24"/>
        </w:rPr>
      </w:pPr>
      <w:bookmarkStart w:id="18" w:name="_c7jr8npvpyji" w:colFirst="0" w:colLast="0"/>
      <w:bookmarkStart w:id="19" w:name="_Toc215947146"/>
      <w:bookmarkEnd w:id="18"/>
      <w:r w:rsidRPr="00C225BE">
        <w:rPr>
          <w:rFonts w:asciiTheme="minorHAnsi" w:hAnsiTheme="minorHAnsi"/>
          <w:sz w:val="24"/>
          <w:szCs w:val="24"/>
        </w:rPr>
        <w:t>6.2 Methodology</w:t>
      </w:r>
      <w:bookmarkEnd w:id="19"/>
    </w:p>
    <w:p w14:paraId="0F64D9D8" w14:textId="77777777" w:rsidR="00D04F94" w:rsidRPr="00C225BE" w:rsidRDefault="00000000">
      <w:pPr>
        <w:jc w:val="both"/>
        <w:rPr>
          <w:rFonts w:asciiTheme="minorHAnsi" w:hAnsiTheme="minorHAnsi"/>
          <w:sz w:val="24"/>
          <w:szCs w:val="24"/>
        </w:rPr>
      </w:pPr>
      <w:r w:rsidRPr="00C225BE">
        <w:rPr>
          <w:rFonts w:asciiTheme="minorHAnsi" w:hAnsiTheme="minorHAnsi"/>
          <w:sz w:val="24"/>
          <w:szCs w:val="24"/>
        </w:rPr>
        <w:t>The SPHERE project employed a mixed-methods, multi-phased implementation methodology designed to generate high-quality evidence, strengthen civil society capacity, and advance structured social participation within Kenya’s Universal Health Coverage (UHC) reforms. The methodology integrated qualitative research, participatory approaches, capacity-building interventions, and iterative learning, ensuring that project activities were grounded in evidence and responsive to evolving policy and governance dynamics at both county and national levels.</w:t>
      </w:r>
    </w:p>
    <w:p w14:paraId="2B05E3E0" w14:textId="77777777" w:rsidR="00D04F94" w:rsidRPr="00C225BE" w:rsidRDefault="00000000" w:rsidP="00D2189C">
      <w:pPr>
        <w:pStyle w:val="Heading3"/>
        <w:rPr>
          <w:rFonts w:asciiTheme="minorHAnsi" w:hAnsiTheme="minorHAnsi"/>
          <w:sz w:val="24"/>
          <w:szCs w:val="24"/>
        </w:rPr>
      </w:pPr>
      <w:bookmarkStart w:id="20" w:name="_ymclxrvqgmd0" w:colFirst="0" w:colLast="0"/>
      <w:bookmarkStart w:id="21" w:name="_Toc215947147"/>
      <w:bookmarkEnd w:id="20"/>
      <w:r w:rsidRPr="00C225BE">
        <w:rPr>
          <w:rFonts w:asciiTheme="minorHAnsi" w:hAnsiTheme="minorHAnsi"/>
          <w:sz w:val="24"/>
          <w:szCs w:val="24"/>
        </w:rPr>
        <w:t>1. Research and Evidence Generation</w:t>
      </w:r>
      <w:bookmarkEnd w:id="21"/>
    </w:p>
    <w:p w14:paraId="1C03C8E4"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The project began with an in-depth qualitative research study aimed at understanding the status of Social Participation for Health (SPH) within Kenya’s UHC and health financing landscape. This phase utilized a descriptive study design, combining Key Informant Interviews (KIIs) and Focus Group Discussions (FGDs) conducted in </w:t>
      </w:r>
      <w:proofErr w:type="spellStart"/>
      <w:r w:rsidRPr="00C225BE">
        <w:rPr>
          <w:rFonts w:asciiTheme="minorHAnsi" w:eastAsia="Times New Roman" w:hAnsiTheme="minorHAnsi" w:cs="Times New Roman"/>
          <w:sz w:val="24"/>
          <w:szCs w:val="24"/>
        </w:rPr>
        <w:t>Isiolo</w:t>
      </w:r>
      <w:proofErr w:type="spellEnd"/>
      <w:r w:rsidRPr="00C225BE">
        <w:rPr>
          <w:rFonts w:asciiTheme="minorHAnsi" w:eastAsia="Times New Roman" w:hAnsiTheme="minorHAnsi" w:cs="Times New Roman"/>
          <w:sz w:val="24"/>
          <w:szCs w:val="24"/>
        </w:rPr>
        <w:t xml:space="preserve"> and Kisumu counties. A total of 33 KIIs were carried out with policymakers, county executives, civil society leaders, community health workers, and technical experts, complemented by two FGDs with community representatives. Ethical approval was obtained from the National Commission for Science, Technology and Innovation (NACOSTI) and AMREF Health Africa, ensuring adherence to national research standards. The data were analyzed thematically, producing a comprehensive assessment of barriers, enablers, structural gaps, and opportunities for integrating SPH into UHC reforms, with specific attention to the transition from NHIF to the Social Health Authority (SHA).</w:t>
      </w:r>
    </w:p>
    <w:p w14:paraId="583E955D" w14:textId="77777777" w:rsidR="00D04F94" w:rsidRPr="00C225BE" w:rsidRDefault="00000000" w:rsidP="00D2189C">
      <w:pPr>
        <w:pStyle w:val="Heading3"/>
        <w:rPr>
          <w:rFonts w:asciiTheme="minorHAnsi" w:hAnsiTheme="minorHAnsi"/>
          <w:sz w:val="24"/>
          <w:szCs w:val="24"/>
        </w:rPr>
      </w:pPr>
      <w:bookmarkStart w:id="22" w:name="_czgspm8iyq68" w:colFirst="0" w:colLast="0"/>
      <w:bookmarkStart w:id="23" w:name="_Toc215947148"/>
      <w:bookmarkEnd w:id="22"/>
      <w:r w:rsidRPr="00C225BE">
        <w:rPr>
          <w:rFonts w:asciiTheme="minorHAnsi" w:hAnsiTheme="minorHAnsi"/>
          <w:sz w:val="24"/>
          <w:szCs w:val="24"/>
        </w:rPr>
        <w:t>2. Participatory Design and Co-Creation of Advocacy Tools</w:t>
      </w:r>
      <w:bookmarkEnd w:id="23"/>
    </w:p>
    <w:p w14:paraId="73F4F603"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Findings from the research informed the co-creation of advocacy tools and training materials. The project team synthesized evidence into user-friendly briefs, capacity-building modules, budget analysis templates, and county-specific health system profiles. These tools were validated through consultative engagements with civil </w:t>
      </w:r>
      <w:r w:rsidRPr="00C225BE">
        <w:rPr>
          <w:rFonts w:asciiTheme="minorHAnsi" w:eastAsia="Times New Roman" w:hAnsiTheme="minorHAnsi" w:cs="Times New Roman"/>
          <w:sz w:val="24"/>
          <w:szCs w:val="24"/>
        </w:rPr>
        <w:lastRenderedPageBreak/>
        <w:t>society organizations (CSOs), community representatives, and technical partners, ensuring contextual appropriateness and alignment with local governance processes. The participatory approach to tool development enhanced ownership, relevance, and applicability across varied county contexts.</w:t>
      </w:r>
    </w:p>
    <w:p w14:paraId="178EBA24" w14:textId="77777777" w:rsidR="00D04F94" w:rsidRPr="00C225BE" w:rsidRDefault="00000000" w:rsidP="00D2189C">
      <w:pPr>
        <w:pStyle w:val="Heading3"/>
        <w:rPr>
          <w:rFonts w:asciiTheme="minorHAnsi" w:hAnsiTheme="minorHAnsi"/>
          <w:sz w:val="24"/>
          <w:szCs w:val="24"/>
        </w:rPr>
      </w:pPr>
      <w:bookmarkStart w:id="24" w:name="_y8ldvw54xqqd" w:colFirst="0" w:colLast="0"/>
      <w:bookmarkStart w:id="25" w:name="_Toc215947149"/>
      <w:bookmarkEnd w:id="24"/>
      <w:r w:rsidRPr="00C225BE">
        <w:rPr>
          <w:rFonts w:asciiTheme="minorHAnsi" w:hAnsiTheme="minorHAnsi"/>
          <w:sz w:val="24"/>
          <w:szCs w:val="24"/>
        </w:rPr>
        <w:t>3. Capacity Strengthening Through a Multi-Tiered Training Model</w:t>
      </w:r>
      <w:bookmarkEnd w:id="25"/>
    </w:p>
    <w:p w14:paraId="5987C407"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To build sustainable local capacity, the project applied a cascading training model. A competitive process was used to select 17 Trainers of Trainers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from HENNET’s membership base across multiple counties. These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underwent a three-phase training cycle that covered Public Finance Management (PFM), budget analysis, policy interpretation, and SMART advocacy approaches. Training incorporated practical exercises, case-based learning, and mentorship sessions to ensure that participants developed both technical competencies and hands-on application skills.</w:t>
      </w:r>
    </w:p>
    <w:p w14:paraId="48782F49"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The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subsequently facilitated county-level trainings for community groups and civil society networks. Through this cascading model, 220 Community Champions were trained and supported to develop eight county-specific SMART advocacy plans. This participatory, evidence-informed approach strengthened the capacity of local actors to engage with county budget cycles, planning processes, and SHA transition discussions.</w:t>
      </w:r>
    </w:p>
    <w:p w14:paraId="45BAEF31" w14:textId="77777777" w:rsidR="00D04F94" w:rsidRPr="00C225BE" w:rsidRDefault="00000000" w:rsidP="00D2189C">
      <w:pPr>
        <w:pStyle w:val="Heading3"/>
        <w:rPr>
          <w:rFonts w:asciiTheme="minorHAnsi" w:hAnsiTheme="minorHAnsi"/>
          <w:sz w:val="24"/>
          <w:szCs w:val="24"/>
        </w:rPr>
      </w:pPr>
      <w:bookmarkStart w:id="26" w:name="_n1s8rzxycv0v" w:colFirst="0" w:colLast="0"/>
      <w:bookmarkStart w:id="27" w:name="_Toc215947150"/>
      <w:bookmarkEnd w:id="26"/>
      <w:r w:rsidRPr="00C225BE">
        <w:rPr>
          <w:rFonts w:asciiTheme="minorHAnsi" w:hAnsiTheme="minorHAnsi"/>
          <w:sz w:val="24"/>
          <w:szCs w:val="24"/>
        </w:rPr>
        <w:t>4. Advocacy Implementation and Policy Engagement</w:t>
      </w:r>
      <w:bookmarkEnd w:id="27"/>
    </w:p>
    <w:p w14:paraId="2F770551"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Advocacy activities were implemented at both county and national levels using structured, evidence-based approaches. At the county level, champions and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employed the SMART advocacy plans to guide engagements with Governors, County Executive Committee Members for Health, Members of County Assemblies, Treasury officials, and sector working groups. These engagements included policy dialogues, public participation forums, budget hearings, and community scorecard reviews. At the national level, HENNET coordinated CSO submissions to parliamentary hearings, Treasury consultations, Ministry of Health policy discussions, and SHA rollout forums. The project also contributed technical input to the drafting of the National Public Participation Bill and participated in high-level governance structures such as the SHA Benefits and Tariffs Advisory Board and the National Health Financing Technical Working Group.</w:t>
      </w:r>
    </w:p>
    <w:p w14:paraId="0413B817" w14:textId="77777777" w:rsidR="00D04F94" w:rsidRPr="00C225BE" w:rsidRDefault="00000000" w:rsidP="00D2189C">
      <w:pPr>
        <w:pStyle w:val="Heading3"/>
        <w:rPr>
          <w:rFonts w:asciiTheme="minorHAnsi" w:hAnsiTheme="minorHAnsi"/>
          <w:sz w:val="24"/>
          <w:szCs w:val="24"/>
        </w:rPr>
      </w:pPr>
      <w:bookmarkStart w:id="28" w:name="_ydtvi7ea836l" w:colFirst="0" w:colLast="0"/>
      <w:bookmarkStart w:id="29" w:name="_Toc215947151"/>
      <w:bookmarkEnd w:id="28"/>
      <w:r w:rsidRPr="00C225BE">
        <w:rPr>
          <w:rFonts w:asciiTheme="minorHAnsi" w:hAnsiTheme="minorHAnsi"/>
          <w:sz w:val="24"/>
          <w:szCs w:val="24"/>
        </w:rPr>
        <w:t>5. Monitoring, Learning, and Adaptation</w:t>
      </w:r>
      <w:bookmarkEnd w:id="29"/>
    </w:p>
    <w:p w14:paraId="0389FEA9"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The project adopted a continuous learning approach, integrating feedback loops and reflection mechanisms throughout implementation. Monthly HENNET Member Meetings, county debriefs, and SPHERE consortium learning sessions provided platforms for reviewing progress, identifying emerging challenges, and refining strategies. Adaptive management principles were applied to adjust training content, </w:t>
      </w:r>
      <w:r w:rsidRPr="00C225BE">
        <w:rPr>
          <w:rFonts w:asciiTheme="minorHAnsi" w:eastAsia="Times New Roman" w:hAnsiTheme="minorHAnsi" w:cs="Times New Roman"/>
          <w:sz w:val="24"/>
          <w:szCs w:val="24"/>
        </w:rPr>
        <w:lastRenderedPageBreak/>
        <w:t>advocacy priorities, and engagement tactics in response to shifting policy dynamics, including the rollout of the Social Health Insurance Act (2023). Documentation of lessons, success stories, and implementation barriers informed ongoing improvements and supported cross-county learning.</w:t>
      </w:r>
    </w:p>
    <w:p w14:paraId="5FFB44A0" w14:textId="77777777" w:rsidR="00D04F94" w:rsidRPr="00C225BE" w:rsidRDefault="00000000" w:rsidP="00D2189C">
      <w:pPr>
        <w:pStyle w:val="Heading3"/>
        <w:rPr>
          <w:rFonts w:asciiTheme="minorHAnsi" w:hAnsiTheme="minorHAnsi"/>
          <w:sz w:val="24"/>
          <w:szCs w:val="24"/>
        </w:rPr>
      </w:pPr>
      <w:bookmarkStart w:id="30" w:name="_jqaozp3cluvd" w:colFirst="0" w:colLast="0"/>
      <w:bookmarkStart w:id="31" w:name="_Toc215947152"/>
      <w:bookmarkEnd w:id="30"/>
      <w:r w:rsidRPr="00C225BE">
        <w:rPr>
          <w:rFonts w:asciiTheme="minorHAnsi" w:hAnsiTheme="minorHAnsi"/>
          <w:sz w:val="24"/>
          <w:szCs w:val="24"/>
        </w:rPr>
        <w:t>6. Evaluation and National-Level Learning Dissemination</w:t>
      </w:r>
      <w:bookmarkEnd w:id="31"/>
    </w:p>
    <w:p w14:paraId="6F267DA6" w14:textId="079147A6" w:rsidR="00D04F94" w:rsidRPr="00C225BE" w:rsidRDefault="00000000" w:rsidP="00C225BE">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final phase of the project included an endline assessment conducted through surveys, stakeholder interviews, and rapid county reviews to measure changes in capacity, participation practices, and policy influence. Findings were validated and disseminated during the National Social Participation for Health Conference held in July 2025, which convened county leaders, CSOs, policymakers, and development partners to review progress and chart future directions. This conference served as both a dissemination platform and a national learning exchange, reinforcing sustainability and scaling opportunities.</w:t>
      </w:r>
    </w:p>
    <w:p w14:paraId="32AF3F2B" w14:textId="77777777" w:rsidR="00D2189C" w:rsidRPr="00C225BE" w:rsidRDefault="00000000" w:rsidP="00D2189C">
      <w:pPr>
        <w:pStyle w:val="Heading1"/>
        <w:rPr>
          <w:rFonts w:asciiTheme="minorHAnsi" w:hAnsiTheme="minorHAnsi"/>
          <w:sz w:val="24"/>
          <w:szCs w:val="24"/>
        </w:rPr>
      </w:pPr>
      <w:bookmarkStart w:id="32" w:name="_Toc215947153"/>
      <w:r w:rsidRPr="00C225BE">
        <w:rPr>
          <w:rFonts w:asciiTheme="minorHAnsi" w:hAnsiTheme="minorHAnsi"/>
          <w:sz w:val="24"/>
          <w:szCs w:val="24"/>
        </w:rPr>
        <w:t>7. Key Results and Achievements</w:t>
      </w:r>
      <w:bookmarkEnd w:id="32"/>
    </w:p>
    <w:p w14:paraId="081723D3" w14:textId="77777777" w:rsidR="00D04F94" w:rsidRPr="00C225BE" w:rsidRDefault="00000000" w:rsidP="00D2189C">
      <w:pPr>
        <w:pStyle w:val="Heading2"/>
        <w:rPr>
          <w:rFonts w:asciiTheme="minorHAnsi" w:hAnsiTheme="minorHAnsi"/>
          <w:sz w:val="24"/>
          <w:szCs w:val="24"/>
        </w:rPr>
      </w:pPr>
      <w:bookmarkStart w:id="33" w:name="_Toc215947154"/>
      <w:r w:rsidRPr="00C225BE">
        <w:rPr>
          <w:rFonts w:asciiTheme="minorHAnsi" w:hAnsiTheme="minorHAnsi"/>
          <w:sz w:val="24"/>
          <w:szCs w:val="24"/>
        </w:rPr>
        <w:t>7.1 Strengthening Social Participation for Health</w:t>
      </w:r>
      <w:bookmarkEnd w:id="33"/>
    </w:p>
    <w:p w14:paraId="7AC608E6" w14:textId="77777777" w:rsidR="00D04F94" w:rsidRPr="00C225BE" w:rsidRDefault="00000000" w:rsidP="00E97D7A">
      <w:pPr>
        <w:jc w:val="both"/>
        <w:rPr>
          <w:rFonts w:asciiTheme="minorHAnsi" w:hAnsiTheme="minorHAnsi"/>
          <w:sz w:val="24"/>
          <w:szCs w:val="24"/>
        </w:rPr>
      </w:pPr>
      <w:bookmarkStart w:id="34" w:name="_206kbia5loha" w:colFirst="0" w:colLast="0"/>
      <w:bookmarkEnd w:id="34"/>
      <w:r w:rsidRPr="00C225BE">
        <w:rPr>
          <w:rFonts w:asciiTheme="minorHAnsi" w:hAnsiTheme="minorHAnsi"/>
          <w:sz w:val="24"/>
          <w:szCs w:val="24"/>
        </w:rPr>
        <w:t>The SPHERE project achieved significant progress in strengthening social participation for health, advancing evidence-informed UHC advocacy, and institutionalizing citizen and CSO engagement within Kenya’s evolving health governance landscape. Through a structured four-phase approach spanning research, capacity building, advocacy implementation, and evaluation the project catalyzed measurable improvements across counties and at the national level. HENNET’s technical leadership was central to each achievement, ensuring coherent coordination, evidence dissemination, and structured engagement with government, CSOs, and communities.</w:t>
      </w:r>
    </w:p>
    <w:p w14:paraId="1A50690D" w14:textId="77777777" w:rsidR="00D04F94" w:rsidRPr="00C225BE" w:rsidRDefault="00000000" w:rsidP="00D2189C">
      <w:pPr>
        <w:pStyle w:val="Heading3"/>
        <w:rPr>
          <w:rFonts w:asciiTheme="minorHAnsi" w:eastAsia="Times New Roman" w:hAnsiTheme="minorHAnsi" w:cs="Times New Roman"/>
          <w:sz w:val="24"/>
          <w:szCs w:val="24"/>
        </w:rPr>
      </w:pPr>
      <w:bookmarkStart w:id="35" w:name="_Toc215947155"/>
      <w:r w:rsidRPr="00C225BE">
        <w:rPr>
          <w:rFonts w:asciiTheme="minorHAnsi" w:hAnsiTheme="minorHAnsi"/>
          <w:sz w:val="24"/>
          <w:szCs w:val="24"/>
        </w:rPr>
        <w:t>Phase 1: Establishing an Evidence Base for Social Participation</w:t>
      </w:r>
      <w:bookmarkEnd w:id="35"/>
    </w:p>
    <w:p w14:paraId="19DAD731" w14:textId="77777777" w:rsidR="00D04F94" w:rsidRPr="00C225BE" w:rsidRDefault="00000000" w:rsidP="00E97D7A">
      <w:pPr>
        <w:spacing w:after="0"/>
        <w:jc w:val="both"/>
        <w:rPr>
          <w:rFonts w:asciiTheme="minorHAnsi" w:hAnsiTheme="minorHAnsi"/>
          <w:b/>
          <w:bCs/>
          <w:sz w:val="24"/>
          <w:szCs w:val="24"/>
        </w:rPr>
      </w:pPr>
      <w:r w:rsidRPr="00C225BE">
        <w:rPr>
          <w:rFonts w:asciiTheme="minorHAnsi" w:hAnsiTheme="minorHAnsi"/>
          <w:sz w:val="24"/>
          <w:szCs w:val="24"/>
        </w:rPr>
        <w:t xml:space="preserve">A major accomplishment of the project was the successful completion of a pioneering technical research study examining the integration of Social Participation for Health (SPH) within Kenya’s UHC and health financing reforms. Conducted in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and Kisumu Counties, the study engaged 33 Key Informant Interviews and two Focus Group Discussions and secured both NACOSTI and AMREF ethics approvals affirming its methodological rigor and national compliance.</w:t>
      </w:r>
    </w:p>
    <w:p w14:paraId="7B7E2081" w14:textId="77777777" w:rsidR="00D04F94" w:rsidRPr="00C225BE" w:rsidRDefault="00000000" w:rsidP="00E97D7A">
      <w:pPr>
        <w:spacing w:after="0"/>
        <w:jc w:val="both"/>
        <w:rPr>
          <w:rFonts w:asciiTheme="minorHAnsi" w:hAnsiTheme="minorHAnsi"/>
          <w:b/>
          <w:bCs/>
          <w:sz w:val="24"/>
          <w:szCs w:val="24"/>
        </w:rPr>
      </w:pPr>
      <w:r w:rsidRPr="00C225BE">
        <w:rPr>
          <w:rFonts w:asciiTheme="minorHAnsi" w:hAnsiTheme="minorHAnsi"/>
          <w:sz w:val="24"/>
          <w:szCs w:val="24"/>
        </w:rPr>
        <w:t xml:space="preserve">The study generated critical insights into the landscape of CSO involvement in UHC implementation. Findings highlighted that while CSOs have contributed meaningfully to advocacy, community engagement, and capacity strengthening, their effectiveness is constrained by limited funding, unclear engagement frameworks, infrastructure bottlenecks, political interference, and weak coordination. At the same time, clear </w:t>
      </w:r>
      <w:r w:rsidRPr="00C225BE">
        <w:rPr>
          <w:rFonts w:asciiTheme="minorHAnsi" w:hAnsiTheme="minorHAnsi"/>
          <w:sz w:val="24"/>
          <w:szCs w:val="24"/>
        </w:rPr>
        <w:lastRenderedPageBreak/>
        <w:t>successes emerged: increased community involvement in UHC processes, improved access to essential services, and advancements such as digitization of facility records.</w:t>
      </w:r>
    </w:p>
    <w:p w14:paraId="30B1ED6D" w14:textId="77777777" w:rsidR="00D04F94" w:rsidRPr="00C225BE" w:rsidRDefault="00000000" w:rsidP="00E97D7A">
      <w:pPr>
        <w:spacing w:after="0"/>
        <w:jc w:val="both"/>
        <w:rPr>
          <w:rFonts w:asciiTheme="minorHAnsi" w:hAnsiTheme="minorHAnsi"/>
          <w:b/>
          <w:bCs/>
          <w:sz w:val="24"/>
          <w:szCs w:val="24"/>
        </w:rPr>
      </w:pPr>
      <w:bookmarkStart w:id="36" w:name="_9lqnrmapnjs3" w:colFirst="0" w:colLast="0"/>
      <w:bookmarkEnd w:id="36"/>
      <w:r w:rsidRPr="00C225BE">
        <w:rPr>
          <w:rFonts w:asciiTheme="minorHAnsi" w:hAnsiTheme="minorHAnsi"/>
          <w:sz w:val="24"/>
          <w:szCs w:val="24"/>
        </w:rPr>
        <w:t>The research findings were instrumental in shaping the project’s advocacy agenda. They identified priority gaps such as financing constraints, insufficient community awareness, service delivery inequities, and the opportunities and risks associated with transitioning from NHIF to SHIF that required structured engagement and strategic policy advocacy.</w:t>
      </w:r>
    </w:p>
    <w:p w14:paraId="34EE2C1D" w14:textId="77777777" w:rsidR="00D04F94" w:rsidRPr="00C225BE" w:rsidRDefault="00000000" w:rsidP="00D2189C">
      <w:pPr>
        <w:pStyle w:val="Heading3"/>
        <w:rPr>
          <w:rFonts w:asciiTheme="minorHAnsi" w:eastAsia="Cambria" w:hAnsiTheme="minorHAnsi" w:cs="Cambria"/>
          <w:sz w:val="24"/>
          <w:szCs w:val="24"/>
        </w:rPr>
      </w:pPr>
      <w:bookmarkStart w:id="37" w:name="_z375wa41sd6u" w:colFirst="0" w:colLast="0"/>
      <w:bookmarkStart w:id="38" w:name="_Toc215947156"/>
      <w:bookmarkEnd w:id="37"/>
      <w:r w:rsidRPr="00C225BE">
        <w:rPr>
          <w:rFonts w:asciiTheme="minorHAnsi" w:hAnsiTheme="minorHAnsi"/>
          <w:sz w:val="24"/>
          <w:szCs w:val="24"/>
        </w:rPr>
        <w:t>Phase 2: Strengthening Capacity for Evidence-Informed Advocacy</w:t>
      </w:r>
      <w:bookmarkEnd w:id="38"/>
    </w:p>
    <w:p w14:paraId="301F333F" w14:textId="77777777" w:rsidR="00D04F94" w:rsidRPr="00C225BE" w:rsidRDefault="00000000" w:rsidP="00E97D7A">
      <w:pPr>
        <w:spacing w:after="0"/>
        <w:jc w:val="both"/>
        <w:rPr>
          <w:rFonts w:asciiTheme="minorHAnsi" w:hAnsiTheme="minorHAnsi"/>
          <w:b/>
          <w:bCs/>
          <w:sz w:val="24"/>
          <w:szCs w:val="24"/>
        </w:rPr>
      </w:pPr>
      <w:r w:rsidRPr="00C225BE">
        <w:rPr>
          <w:rFonts w:asciiTheme="minorHAnsi" w:hAnsiTheme="minorHAnsi"/>
          <w:sz w:val="24"/>
          <w:szCs w:val="24"/>
        </w:rPr>
        <w:t>Building on the evidence, the project implemented a robust capacity-building program to equip CSOs and community champions with the technical skills necessary to navigate the complexities of health budgeting, planning, resource allocation, and policy advocacy.</w:t>
      </w:r>
    </w:p>
    <w:p w14:paraId="37FDC224" w14:textId="77777777" w:rsidR="00D04F94" w:rsidRPr="00C225BE" w:rsidRDefault="00000000" w:rsidP="00E97D7A">
      <w:pPr>
        <w:spacing w:after="0"/>
        <w:jc w:val="both"/>
        <w:rPr>
          <w:rFonts w:asciiTheme="minorHAnsi" w:hAnsiTheme="minorHAnsi"/>
          <w:b/>
          <w:bCs/>
          <w:sz w:val="24"/>
          <w:szCs w:val="24"/>
        </w:rPr>
      </w:pPr>
      <w:r w:rsidRPr="00C225BE">
        <w:rPr>
          <w:rFonts w:asciiTheme="minorHAnsi" w:hAnsiTheme="minorHAnsi"/>
          <w:sz w:val="24"/>
          <w:szCs w:val="24"/>
        </w:rPr>
        <w:t>A competitive process identified 17 Trainers of Trainers (</w:t>
      </w:r>
      <w:proofErr w:type="spellStart"/>
      <w:r w:rsidRPr="00C225BE">
        <w:rPr>
          <w:rFonts w:asciiTheme="minorHAnsi" w:hAnsiTheme="minorHAnsi"/>
          <w:sz w:val="24"/>
          <w:szCs w:val="24"/>
        </w:rPr>
        <w:t>ToTs</w:t>
      </w:r>
      <w:proofErr w:type="spellEnd"/>
      <w:r w:rsidRPr="00C225BE">
        <w:rPr>
          <w:rFonts w:asciiTheme="minorHAnsi" w:hAnsiTheme="minorHAnsi"/>
          <w:sz w:val="24"/>
          <w:szCs w:val="24"/>
        </w:rPr>
        <w:t xml:space="preserve">) who completed a three-phase training cycle focused on Public Finance Management, budget analysis, and SMART advocacy. These </w:t>
      </w:r>
      <w:proofErr w:type="spellStart"/>
      <w:r w:rsidRPr="00C225BE">
        <w:rPr>
          <w:rFonts w:asciiTheme="minorHAnsi" w:hAnsiTheme="minorHAnsi"/>
          <w:sz w:val="24"/>
          <w:szCs w:val="24"/>
        </w:rPr>
        <w:t>ToTs</w:t>
      </w:r>
      <w:proofErr w:type="spellEnd"/>
      <w:r w:rsidRPr="00C225BE">
        <w:rPr>
          <w:rFonts w:asciiTheme="minorHAnsi" w:hAnsiTheme="minorHAnsi"/>
          <w:sz w:val="24"/>
          <w:szCs w:val="24"/>
        </w:rPr>
        <w:t xml:space="preserve"> served as catalysts for local transformation, cascading knowledge to grassroots networks and county-level actors.</w:t>
      </w:r>
    </w:p>
    <w:p w14:paraId="1D0DB925" w14:textId="77777777" w:rsidR="00D04F94" w:rsidRPr="00C225BE" w:rsidRDefault="00000000" w:rsidP="00E97D7A">
      <w:pPr>
        <w:spacing w:after="0"/>
        <w:jc w:val="both"/>
        <w:rPr>
          <w:rFonts w:asciiTheme="minorHAnsi" w:hAnsiTheme="minorHAnsi"/>
          <w:b/>
          <w:bCs/>
          <w:sz w:val="24"/>
          <w:szCs w:val="24"/>
        </w:rPr>
      </w:pPr>
      <w:r w:rsidRPr="00C225BE">
        <w:rPr>
          <w:rFonts w:asciiTheme="minorHAnsi" w:hAnsiTheme="minorHAnsi"/>
          <w:sz w:val="24"/>
          <w:szCs w:val="24"/>
        </w:rPr>
        <w:t>Through their efforts:</w:t>
      </w:r>
    </w:p>
    <w:p w14:paraId="328480A8" w14:textId="77777777" w:rsidR="00D04F94" w:rsidRPr="00C225BE" w:rsidRDefault="00000000" w:rsidP="00E97D7A">
      <w:pPr>
        <w:pStyle w:val="ListParagraph"/>
        <w:numPr>
          <w:ilvl w:val="0"/>
          <w:numId w:val="8"/>
        </w:numPr>
        <w:spacing w:after="0"/>
        <w:jc w:val="both"/>
        <w:rPr>
          <w:rFonts w:asciiTheme="minorHAnsi" w:hAnsiTheme="minorHAnsi"/>
          <w:b/>
          <w:bCs/>
          <w:sz w:val="24"/>
          <w:szCs w:val="24"/>
        </w:rPr>
      </w:pPr>
      <w:r w:rsidRPr="00C225BE">
        <w:rPr>
          <w:rFonts w:asciiTheme="minorHAnsi" w:hAnsiTheme="minorHAnsi"/>
          <w:sz w:val="24"/>
          <w:szCs w:val="24"/>
        </w:rPr>
        <w:t>220 Community Champions were trained across counties.</w:t>
      </w:r>
    </w:p>
    <w:p w14:paraId="20487A0F" w14:textId="77777777" w:rsidR="00D04F94" w:rsidRPr="00C225BE" w:rsidRDefault="00000000" w:rsidP="00E97D7A">
      <w:pPr>
        <w:pStyle w:val="ListParagraph"/>
        <w:numPr>
          <w:ilvl w:val="0"/>
          <w:numId w:val="8"/>
        </w:numPr>
        <w:spacing w:after="0"/>
        <w:jc w:val="both"/>
        <w:rPr>
          <w:rFonts w:asciiTheme="minorHAnsi" w:hAnsiTheme="minorHAnsi"/>
          <w:b/>
          <w:bCs/>
          <w:sz w:val="24"/>
          <w:szCs w:val="24"/>
        </w:rPr>
      </w:pPr>
      <w:r w:rsidRPr="00C225BE">
        <w:rPr>
          <w:rFonts w:asciiTheme="minorHAnsi" w:hAnsiTheme="minorHAnsi"/>
          <w:sz w:val="24"/>
          <w:szCs w:val="24"/>
        </w:rPr>
        <w:t>Eight county-specific SMART advocacy plans were developed, each grounded in research evidence and tailored to the health priorities of the local context.</w:t>
      </w:r>
    </w:p>
    <w:p w14:paraId="177F60CD" w14:textId="77777777" w:rsidR="00D04F94" w:rsidRPr="00C225BE" w:rsidRDefault="00000000" w:rsidP="00E97D7A">
      <w:pPr>
        <w:pStyle w:val="ListParagraph"/>
        <w:numPr>
          <w:ilvl w:val="0"/>
          <w:numId w:val="8"/>
        </w:numPr>
        <w:spacing w:after="0"/>
        <w:jc w:val="both"/>
        <w:rPr>
          <w:rFonts w:asciiTheme="minorHAnsi" w:hAnsiTheme="minorHAnsi"/>
          <w:b/>
          <w:bCs/>
          <w:sz w:val="24"/>
          <w:szCs w:val="24"/>
        </w:rPr>
      </w:pPr>
      <w:r w:rsidRPr="00C225BE">
        <w:rPr>
          <w:rFonts w:asciiTheme="minorHAnsi" w:hAnsiTheme="minorHAnsi"/>
          <w:sz w:val="24"/>
          <w:szCs w:val="24"/>
        </w:rPr>
        <w:t>Community champions gained analytical capacity to interrogate county budgets, understand fiscal ceilings, and develop actionable advocacy asks directed at county executives and assemblies.</w:t>
      </w:r>
    </w:p>
    <w:p w14:paraId="0CB159AA" w14:textId="77777777" w:rsidR="00D04F94" w:rsidRPr="00C225BE" w:rsidRDefault="00000000" w:rsidP="00E97D7A">
      <w:pPr>
        <w:spacing w:after="0"/>
        <w:jc w:val="both"/>
        <w:rPr>
          <w:rFonts w:asciiTheme="minorHAnsi" w:hAnsiTheme="minorHAnsi"/>
          <w:b/>
          <w:bCs/>
          <w:sz w:val="24"/>
          <w:szCs w:val="24"/>
        </w:rPr>
      </w:pPr>
      <w:bookmarkStart w:id="39" w:name="_fvfgoyg4ntf4" w:colFirst="0" w:colLast="0"/>
      <w:bookmarkEnd w:id="39"/>
      <w:r w:rsidRPr="00C225BE">
        <w:rPr>
          <w:rFonts w:asciiTheme="minorHAnsi" w:hAnsiTheme="minorHAnsi"/>
          <w:sz w:val="24"/>
          <w:szCs w:val="24"/>
        </w:rPr>
        <w:t>This capacity-building process significantly elevated the level of community-informed dialogue in county health processes and enhanced CSO readiness to engage during the transition to SHA.</w:t>
      </w:r>
    </w:p>
    <w:p w14:paraId="0AC98349" w14:textId="77777777" w:rsidR="00D04F94" w:rsidRPr="00C225BE" w:rsidRDefault="00000000" w:rsidP="00D2189C">
      <w:pPr>
        <w:pStyle w:val="Heading3"/>
        <w:rPr>
          <w:rFonts w:asciiTheme="minorHAnsi" w:hAnsiTheme="minorHAnsi"/>
          <w:sz w:val="24"/>
          <w:szCs w:val="24"/>
        </w:rPr>
      </w:pPr>
      <w:bookmarkStart w:id="40" w:name="_Toc215947157"/>
      <w:r w:rsidRPr="00C225BE">
        <w:rPr>
          <w:rFonts w:asciiTheme="minorHAnsi" w:hAnsiTheme="minorHAnsi"/>
          <w:sz w:val="24"/>
          <w:szCs w:val="24"/>
        </w:rPr>
        <w:t>Phase 3</w:t>
      </w:r>
      <w:bookmarkEnd w:id="40"/>
    </w:p>
    <w:p w14:paraId="6FBE47A8" w14:textId="77777777" w:rsidR="00D04F94" w:rsidRPr="00C225BE" w:rsidRDefault="00000000" w:rsidP="00E97D7A">
      <w:pPr>
        <w:spacing w:after="0"/>
        <w:jc w:val="both"/>
        <w:rPr>
          <w:rFonts w:asciiTheme="minorHAnsi" w:hAnsiTheme="minorHAnsi"/>
          <w:b/>
          <w:bCs/>
          <w:sz w:val="24"/>
          <w:szCs w:val="24"/>
        </w:rPr>
      </w:pPr>
      <w:bookmarkStart w:id="41" w:name="_lmcue0izfp1n" w:colFirst="0" w:colLast="0"/>
      <w:bookmarkEnd w:id="41"/>
      <w:r w:rsidRPr="00C225BE">
        <w:rPr>
          <w:rFonts w:asciiTheme="minorHAnsi" w:hAnsiTheme="minorHAnsi"/>
          <w:sz w:val="24"/>
          <w:szCs w:val="24"/>
        </w:rPr>
        <w:t>Guided by research findings and community priorities documented through the AIHD UHC study, CSOs and trained community champions held a series of structured advocacy engagements targeting senior county leadership including Governors, Deputy Governors, County Executive Committee Members (CECs) for Health, County Assembly Health Committees, Budget and Appropriations Committees, County Directors of Planning, and Treasury officials. These engagements took place through formal consultative forums, policy roundtables, technical review meetings, and scheduled memoranda submissions between 2024 and 2025. In each county, champions used county-specific SMART advocacy plans, budget analyses, and evidence summaries generated through the project to influence decision-making during critical planning and budgeting windows.</w:t>
      </w:r>
    </w:p>
    <w:p w14:paraId="71CFE473" w14:textId="77777777" w:rsidR="00D04F94" w:rsidRPr="00C225BE" w:rsidRDefault="00000000" w:rsidP="00E97D7A">
      <w:pPr>
        <w:spacing w:after="0"/>
        <w:jc w:val="both"/>
        <w:rPr>
          <w:rFonts w:asciiTheme="minorHAnsi" w:hAnsiTheme="minorHAnsi"/>
          <w:sz w:val="24"/>
          <w:szCs w:val="24"/>
        </w:rPr>
      </w:pPr>
      <w:bookmarkStart w:id="42" w:name="_7gihq4og1oy6" w:colFirst="0" w:colLast="0"/>
      <w:bookmarkEnd w:id="42"/>
      <w:r w:rsidRPr="00C225BE">
        <w:rPr>
          <w:rFonts w:asciiTheme="minorHAnsi" w:hAnsiTheme="minorHAnsi"/>
          <w:sz w:val="24"/>
          <w:szCs w:val="24"/>
        </w:rPr>
        <w:lastRenderedPageBreak/>
        <w:t>As a result, counties demonstrated observable governance shifts, including increased openness to civil society participation, stronger documentation of community inputs, improved linkage between public submissions and budget outputs, and formal requests for CSO technical support. These achievements show not only heightened demand for participation but institutional acknowledgment of its value.</w:t>
      </w:r>
    </w:p>
    <w:p w14:paraId="4F7C09AF" w14:textId="77777777" w:rsidR="00D04F94" w:rsidRPr="00C225BE" w:rsidRDefault="00D04F94">
      <w:pPr>
        <w:spacing w:after="0"/>
        <w:rPr>
          <w:rFonts w:asciiTheme="minorHAnsi" w:hAnsiTheme="minorHAnsi"/>
          <w:sz w:val="24"/>
          <w:szCs w:val="24"/>
        </w:rPr>
      </w:pPr>
    </w:p>
    <w:p w14:paraId="648C6CCB" w14:textId="77777777" w:rsidR="00D04F94" w:rsidRPr="00C225BE" w:rsidRDefault="00000000" w:rsidP="00D2189C">
      <w:pPr>
        <w:pStyle w:val="Heading4"/>
        <w:rPr>
          <w:rFonts w:asciiTheme="minorHAnsi" w:hAnsiTheme="minorHAnsi"/>
          <w:sz w:val="24"/>
          <w:szCs w:val="24"/>
        </w:rPr>
      </w:pPr>
      <w:r w:rsidRPr="00C225BE">
        <w:rPr>
          <w:rFonts w:asciiTheme="minorHAnsi" w:hAnsiTheme="minorHAnsi"/>
          <w:sz w:val="24"/>
          <w:szCs w:val="24"/>
        </w:rPr>
        <w:t>1. Institutionalization of Social Participation Mechanisms</w:t>
      </w:r>
    </w:p>
    <w:p w14:paraId="7A368900" w14:textId="77777777" w:rsidR="00D04F94" w:rsidRPr="00C225BE" w:rsidRDefault="00000000">
      <w:pPr>
        <w:spacing w:after="0"/>
        <w:rPr>
          <w:rFonts w:asciiTheme="minorHAnsi" w:hAnsiTheme="minorHAnsi"/>
          <w:b/>
          <w:bCs/>
          <w:sz w:val="24"/>
          <w:szCs w:val="24"/>
        </w:rPr>
      </w:pPr>
      <w:r w:rsidRPr="00C225BE">
        <w:rPr>
          <w:rFonts w:asciiTheme="minorHAnsi" w:hAnsiTheme="minorHAnsi"/>
          <w:b/>
          <w:bCs/>
          <w:sz w:val="24"/>
          <w:szCs w:val="24"/>
        </w:rPr>
        <w:t>Adoption of Public Participation Policy – Kakamega County</w:t>
      </w:r>
    </w:p>
    <w:p w14:paraId="1932BC5D"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In Kakamega County, HENNET played a direct technical and convening role in advancing a legal framework for structured citizen engagement. Beginning in early 2024, HENNET facilitated multi-stakeholder consultations involving the County Department of Health, Office of the Governor, County Assembly committees, civil society organizations, youth and women’s representatives, cultural leaders, persons with disabilities, and community health structures. These consultations synthesized community-generated evidence on weak participation pathways, lack of feedback mechanisms, and inconsistent documentation of public input into county decisions.</w:t>
      </w:r>
    </w:p>
    <w:p w14:paraId="4A70FCE6"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Drawing on this evidence, HENNET provided technical support to the county’s legal and governance teams reviewing draft policy language, aligning the document with constitutional provisions (Articles 10, 118, 174, and 232), Public Participation Guidelines, and Kenya’s Health Act (2017), and facilitating comparative learning from other devolved units. The process culminated in 2024 with the official adoption of the Kakamega County Public Participation Policy, following County Assembly deliberation and approval.</w:t>
      </w:r>
    </w:p>
    <w:p w14:paraId="6BA2D779"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policy establishes a clear, standardized countywide system for integrating citizen inputs into:</w:t>
      </w:r>
    </w:p>
    <w:p w14:paraId="61312794" w14:textId="77777777" w:rsidR="00D04F94" w:rsidRPr="00C225BE" w:rsidRDefault="00000000">
      <w:pPr>
        <w:numPr>
          <w:ilvl w:val="0"/>
          <w:numId w:val="4"/>
        </w:numPr>
        <w:spacing w:after="0"/>
        <w:rPr>
          <w:rFonts w:asciiTheme="minorHAnsi" w:hAnsiTheme="minorHAnsi"/>
          <w:sz w:val="24"/>
          <w:szCs w:val="24"/>
        </w:rPr>
      </w:pPr>
      <w:r w:rsidRPr="00C225BE">
        <w:rPr>
          <w:rFonts w:asciiTheme="minorHAnsi" w:eastAsia="Times New Roman" w:hAnsiTheme="minorHAnsi" w:cs="Times New Roman"/>
          <w:sz w:val="24"/>
          <w:szCs w:val="24"/>
        </w:rPr>
        <w:t>Annual and medium-term planning cycles</w:t>
      </w:r>
    </w:p>
    <w:p w14:paraId="35C844E3" w14:textId="77777777" w:rsidR="00D04F94" w:rsidRPr="00C225BE" w:rsidRDefault="00000000">
      <w:pPr>
        <w:numPr>
          <w:ilvl w:val="0"/>
          <w:numId w:val="4"/>
        </w:numPr>
        <w:spacing w:after="0"/>
        <w:rPr>
          <w:rFonts w:asciiTheme="minorHAnsi" w:hAnsiTheme="minorHAnsi"/>
          <w:sz w:val="24"/>
          <w:szCs w:val="24"/>
        </w:rPr>
      </w:pPr>
      <w:r w:rsidRPr="00C225BE">
        <w:rPr>
          <w:rFonts w:asciiTheme="minorHAnsi" w:eastAsia="Times New Roman" w:hAnsiTheme="minorHAnsi" w:cs="Times New Roman"/>
          <w:sz w:val="24"/>
          <w:szCs w:val="24"/>
        </w:rPr>
        <w:t>Sector working group consultations</w:t>
      </w:r>
    </w:p>
    <w:p w14:paraId="5F07966C" w14:textId="77777777" w:rsidR="00D04F94" w:rsidRPr="00C225BE" w:rsidRDefault="00000000">
      <w:pPr>
        <w:numPr>
          <w:ilvl w:val="0"/>
          <w:numId w:val="4"/>
        </w:numPr>
        <w:spacing w:after="0"/>
        <w:rPr>
          <w:rFonts w:asciiTheme="minorHAnsi" w:hAnsiTheme="minorHAnsi"/>
          <w:sz w:val="24"/>
          <w:szCs w:val="24"/>
        </w:rPr>
      </w:pPr>
      <w:r w:rsidRPr="00C225BE">
        <w:rPr>
          <w:rFonts w:asciiTheme="minorHAnsi" w:eastAsia="Times New Roman" w:hAnsiTheme="minorHAnsi" w:cs="Times New Roman"/>
          <w:sz w:val="24"/>
          <w:szCs w:val="24"/>
        </w:rPr>
        <w:t>Program-based budgeting and resource allocation</w:t>
      </w:r>
    </w:p>
    <w:p w14:paraId="4122A4E5" w14:textId="77777777" w:rsidR="00D04F94" w:rsidRPr="00C225BE" w:rsidRDefault="00000000">
      <w:pPr>
        <w:numPr>
          <w:ilvl w:val="0"/>
          <w:numId w:val="4"/>
        </w:numPr>
        <w:spacing w:after="0"/>
        <w:rPr>
          <w:rFonts w:asciiTheme="minorHAnsi" w:hAnsiTheme="minorHAnsi"/>
          <w:sz w:val="24"/>
          <w:szCs w:val="24"/>
        </w:rPr>
      </w:pPr>
      <w:r w:rsidRPr="00C225BE">
        <w:rPr>
          <w:rFonts w:asciiTheme="minorHAnsi" w:eastAsia="Times New Roman" w:hAnsiTheme="minorHAnsi" w:cs="Times New Roman"/>
          <w:sz w:val="24"/>
          <w:szCs w:val="24"/>
        </w:rPr>
        <w:t>Monitoring, evaluation, and performance reviews</w:t>
      </w:r>
    </w:p>
    <w:p w14:paraId="691CC21A" w14:textId="77777777" w:rsidR="00D04F94" w:rsidRPr="00C225BE" w:rsidRDefault="00000000">
      <w:pPr>
        <w:numPr>
          <w:ilvl w:val="0"/>
          <w:numId w:val="4"/>
        </w:numPr>
        <w:spacing w:after="0"/>
        <w:rPr>
          <w:rFonts w:asciiTheme="minorHAnsi" w:hAnsiTheme="minorHAnsi"/>
          <w:sz w:val="24"/>
          <w:szCs w:val="24"/>
        </w:rPr>
      </w:pPr>
      <w:r w:rsidRPr="00C225BE">
        <w:rPr>
          <w:rFonts w:asciiTheme="minorHAnsi" w:eastAsia="Times New Roman" w:hAnsiTheme="minorHAnsi" w:cs="Times New Roman"/>
          <w:sz w:val="24"/>
          <w:szCs w:val="24"/>
        </w:rPr>
        <w:t>Legislative and regulatory formulation</w:t>
      </w:r>
    </w:p>
    <w:p w14:paraId="0F4F4247"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It legally requires government departments to publicize consultation schedules, document stakeholder contributions, respond to submitted recommendations, and make participation reports publicly available. It further institutionalizes structured stakeholder mapping, community mobilization guidelines, attendance verification, documentation templates, and feedback loops, ensuring transparency throughout the decision-making chain.</w:t>
      </w:r>
    </w:p>
    <w:p w14:paraId="6EAE67AB" w14:textId="77777777" w:rsidR="00D04F94" w:rsidRPr="00C225BE" w:rsidRDefault="00000000">
      <w:pPr>
        <w:spacing w:after="0"/>
        <w:jc w:val="both"/>
        <w:rPr>
          <w:rFonts w:asciiTheme="minorHAnsi" w:eastAsia="Times New Roman" w:hAnsiTheme="minorHAnsi" w:cs="Times New Roman"/>
          <w:b/>
          <w:bCs/>
          <w:sz w:val="24"/>
          <w:szCs w:val="24"/>
        </w:rPr>
      </w:pPr>
      <w:r w:rsidRPr="00C225BE">
        <w:rPr>
          <w:rFonts w:asciiTheme="minorHAnsi" w:eastAsia="Times New Roman" w:hAnsiTheme="minorHAnsi" w:cs="Times New Roman"/>
          <w:b/>
          <w:bCs/>
          <w:sz w:val="24"/>
          <w:szCs w:val="24"/>
        </w:rPr>
        <w:t>Technical Significance</w:t>
      </w:r>
    </w:p>
    <w:p w14:paraId="33CC0F12"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Kakamega Public Participation Policy represents a system-level milestone for Social Participation for Health:</w:t>
      </w:r>
    </w:p>
    <w:p w14:paraId="366AFA6F" w14:textId="77777777" w:rsidR="00D04F94" w:rsidRPr="00C225BE" w:rsidRDefault="00000000">
      <w:pPr>
        <w:numPr>
          <w:ilvl w:val="0"/>
          <w:numId w:val="4"/>
        </w:numPr>
        <w:pBdr>
          <w:top w:val="nil"/>
          <w:left w:val="nil"/>
          <w:bottom w:val="nil"/>
          <w:right w:val="nil"/>
          <w:between w:val="nil"/>
        </w:pBdr>
        <w:spacing w:after="0"/>
        <w:rPr>
          <w:rFonts w:asciiTheme="minorHAnsi" w:hAnsiTheme="minorHAnsi"/>
          <w:sz w:val="24"/>
          <w:szCs w:val="24"/>
        </w:rPr>
      </w:pPr>
      <w:r w:rsidRPr="00C225BE">
        <w:rPr>
          <w:rFonts w:asciiTheme="minorHAnsi" w:eastAsia="Times New Roman" w:hAnsiTheme="minorHAnsi" w:cs="Times New Roman"/>
          <w:sz w:val="24"/>
          <w:szCs w:val="24"/>
        </w:rPr>
        <w:lastRenderedPageBreak/>
        <w:t>It moves SPH from voluntary practice to legally enforceable governance architecture.</w:t>
      </w:r>
    </w:p>
    <w:p w14:paraId="41164672" w14:textId="77777777" w:rsidR="00D04F94" w:rsidRPr="00C225BE" w:rsidRDefault="00000000">
      <w:pPr>
        <w:numPr>
          <w:ilvl w:val="0"/>
          <w:numId w:val="4"/>
        </w:numPr>
        <w:pBdr>
          <w:top w:val="nil"/>
          <w:left w:val="nil"/>
          <w:bottom w:val="nil"/>
          <w:right w:val="nil"/>
          <w:between w:val="nil"/>
        </w:pBdr>
        <w:spacing w:after="0"/>
        <w:rPr>
          <w:rFonts w:asciiTheme="minorHAnsi" w:hAnsiTheme="minorHAnsi"/>
          <w:sz w:val="24"/>
          <w:szCs w:val="24"/>
        </w:rPr>
      </w:pPr>
      <w:r w:rsidRPr="00C225BE">
        <w:rPr>
          <w:rFonts w:asciiTheme="minorHAnsi" w:eastAsia="Times New Roman" w:hAnsiTheme="minorHAnsi" w:cs="Times New Roman"/>
          <w:sz w:val="24"/>
          <w:szCs w:val="24"/>
        </w:rPr>
        <w:t>It embeds evidence-based citizen engagement in routine county functions, rather than event-based consultations.</w:t>
      </w:r>
    </w:p>
    <w:p w14:paraId="0E996041" w14:textId="77777777" w:rsidR="00D04F94" w:rsidRPr="00C225BE" w:rsidRDefault="00000000">
      <w:pPr>
        <w:numPr>
          <w:ilvl w:val="0"/>
          <w:numId w:val="4"/>
        </w:numPr>
        <w:pBdr>
          <w:top w:val="nil"/>
          <w:left w:val="nil"/>
          <w:bottom w:val="nil"/>
          <w:right w:val="nil"/>
          <w:between w:val="nil"/>
        </w:pBdr>
        <w:spacing w:after="0"/>
        <w:rPr>
          <w:rFonts w:asciiTheme="minorHAnsi" w:hAnsiTheme="minorHAnsi"/>
          <w:sz w:val="24"/>
          <w:szCs w:val="24"/>
        </w:rPr>
      </w:pPr>
      <w:r w:rsidRPr="00C225BE">
        <w:rPr>
          <w:rFonts w:asciiTheme="minorHAnsi" w:eastAsia="Times New Roman" w:hAnsiTheme="minorHAnsi" w:cs="Times New Roman"/>
          <w:sz w:val="24"/>
          <w:szCs w:val="24"/>
        </w:rPr>
        <w:t>It creates formal accountability mechanisms, enabling CSOs and communities to track whether their inputs influence policy and budget outcomes.</w:t>
      </w:r>
    </w:p>
    <w:p w14:paraId="2D0E531D" w14:textId="77777777" w:rsidR="00D04F94" w:rsidRPr="00C225BE" w:rsidRDefault="00000000">
      <w:pPr>
        <w:numPr>
          <w:ilvl w:val="0"/>
          <w:numId w:val="4"/>
        </w:numPr>
        <w:pBdr>
          <w:top w:val="nil"/>
          <w:left w:val="nil"/>
          <w:bottom w:val="nil"/>
          <w:right w:val="nil"/>
          <w:between w:val="nil"/>
        </w:pBdr>
        <w:spacing w:after="0"/>
        <w:rPr>
          <w:rFonts w:asciiTheme="minorHAnsi" w:hAnsiTheme="minorHAnsi"/>
          <w:sz w:val="24"/>
          <w:szCs w:val="24"/>
        </w:rPr>
      </w:pPr>
      <w:r w:rsidRPr="00C225BE">
        <w:rPr>
          <w:rFonts w:asciiTheme="minorHAnsi" w:eastAsia="Times New Roman" w:hAnsiTheme="minorHAnsi" w:cs="Times New Roman"/>
          <w:sz w:val="24"/>
          <w:szCs w:val="24"/>
        </w:rPr>
        <w:t>It positions Kakamega as a model county for implementing Kenya’s constitutional principles on public participation.</w:t>
      </w:r>
    </w:p>
    <w:p w14:paraId="19974D8A" w14:textId="77777777" w:rsidR="00D04F94" w:rsidRPr="00C225BE" w:rsidRDefault="00000000">
      <w:pPr>
        <w:numPr>
          <w:ilvl w:val="0"/>
          <w:numId w:val="4"/>
        </w:numPr>
        <w:pBdr>
          <w:top w:val="nil"/>
          <w:left w:val="nil"/>
          <w:bottom w:val="nil"/>
          <w:right w:val="nil"/>
          <w:between w:val="nil"/>
        </w:pBdr>
        <w:spacing w:after="0"/>
        <w:rPr>
          <w:rFonts w:asciiTheme="minorHAnsi" w:hAnsiTheme="minorHAnsi"/>
          <w:sz w:val="24"/>
          <w:szCs w:val="24"/>
        </w:rPr>
      </w:pPr>
      <w:r w:rsidRPr="00C225BE">
        <w:rPr>
          <w:rFonts w:asciiTheme="minorHAnsi" w:eastAsia="Times New Roman" w:hAnsiTheme="minorHAnsi" w:cs="Times New Roman"/>
          <w:sz w:val="24"/>
          <w:szCs w:val="24"/>
        </w:rPr>
        <w:t>It aligns with Open Government Partnership (OGP) commitments, enhancing transparency, inclusion, and civic oversight.</w:t>
      </w:r>
    </w:p>
    <w:p w14:paraId="5C865DFB" w14:textId="77777777" w:rsidR="00D04F94" w:rsidRPr="00C225BE" w:rsidRDefault="00000000" w:rsidP="00D2189C">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Most importantly, the policy ensures that community voices particularly those of women, youth, people with disabilities, rural households, and marginalized populations are systematically represented in health decision-making, improving equity and responsiveness in UHC implementation.</w:t>
      </w:r>
    </w:p>
    <w:p w14:paraId="29D03E87" w14:textId="77777777" w:rsidR="00D04F94" w:rsidRPr="00C225BE" w:rsidRDefault="00000000" w:rsidP="00D2189C">
      <w:pPr>
        <w:pStyle w:val="Heading4"/>
        <w:rPr>
          <w:rFonts w:asciiTheme="minorHAnsi" w:hAnsiTheme="minorHAnsi"/>
          <w:sz w:val="24"/>
          <w:szCs w:val="24"/>
        </w:rPr>
      </w:pPr>
      <w:r w:rsidRPr="00C225BE">
        <w:rPr>
          <w:rFonts w:asciiTheme="minorHAnsi" w:hAnsiTheme="minorHAnsi"/>
          <w:sz w:val="24"/>
          <w:szCs w:val="24"/>
        </w:rPr>
        <w:t>2. Integration of Disability-Inclusive Governance Structures</w:t>
      </w:r>
    </w:p>
    <w:p w14:paraId="34FB7A70" w14:textId="77777777" w:rsidR="00D04F94" w:rsidRPr="00C225BE" w:rsidRDefault="00000000">
      <w:pPr>
        <w:spacing w:after="0"/>
        <w:rPr>
          <w:rFonts w:asciiTheme="minorHAnsi" w:hAnsiTheme="minorHAnsi"/>
          <w:b/>
          <w:bCs/>
          <w:sz w:val="24"/>
          <w:szCs w:val="24"/>
        </w:rPr>
      </w:pPr>
      <w:r w:rsidRPr="00C225BE">
        <w:rPr>
          <w:rFonts w:asciiTheme="minorHAnsi" w:hAnsiTheme="minorHAnsi"/>
          <w:b/>
          <w:bCs/>
          <w:sz w:val="24"/>
          <w:szCs w:val="24"/>
        </w:rPr>
        <w:t>Formation of SRHR Taskforce – Kakamega County</w:t>
      </w:r>
    </w:p>
    <w:p w14:paraId="2E94F9C6" w14:textId="77777777" w:rsidR="00D04F94" w:rsidRPr="00C225BE" w:rsidRDefault="00000000">
      <w:pPr>
        <w:numPr>
          <w:ilvl w:val="0"/>
          <w:numId w:val="1"/>
        </w:numPr>
        <w:spacing w:after="0"/>
        <w:rPr>
          <w:rFonts w:asciiTheme="minorHAnsi" w:hAnsiTheme="minorHAnsi"/>
          <w:sz w:val="24"/>
          <w:szCs w:val="24"/>
        </w:rPr>
      </w:pPr>
      <w:r w:rsidRPr="00C225BE">
        <w:rPr>
          <w:rFonts w:asciiTheme="minorHAnsi" w:hAnsiTheme="minorHAnsi"/>
          <w:sz w:val="24"/>
          <w:szCs w:val="24"/>
        </w:rPr>
        <w:t>As a direct outcome of evidence presented through HENNET-supported community dialogues on SRHR barriers for women with disabilities, the County Executive Committee Member (CECM) for Health approved the establishment of the County SRHR Taskforce (2025).</w:t>
      </w:r>
    </w:p>
    <w:p w14:paraId="243EE7AA" w14:textId="77777777" w:rsidR="00D04F94" w:rsidRPr="00C225BE" w:rsidRDefault="00000000">
      <w:pPr>
        <w:numPr>
          <w:ilvl w:val="0"/>
          <w:numId w:val="1"/>
        </w:numPr>
        <w:spacing w:after="0"/>
        <w:rPr>
          <w:rFonts w:asciiTheme="minorHAnsi" w:hAnsiTheme="minorHAnsi"/>
          <w:sz w:val="24"/>
          <w:szCs w:val="24"/>
        </w:rPr>
      </w:pPr>
      <w:r w:rsidRPr="00C225BE">
        <w:rPr>
          <w:rFonts w:asciiTheme="minorHAnsi" w:hAnsiTheme="minorHAnsi"/>
          <w:sz w:val="24"/>
          <w:szCs w:val="24"/>
        </w:rPr>
        <w:t>The Taskforce is anchored in the Persons with Disabilities Act (2022), ensuring compliance with statutory obligations on equity, accessibility, and non-discrimination.</w:t>
      </w:r>
    </w:p>
    <w:p w14:paraId="1C4A2A38" w14:textId="77777777" w:rsidR="00D04F94" w:rsidRPr="00C225BE" w:rsidRDefault="00000000" w:rsidP="00D2189C">
      <w:pPr>
        <w:numPr>
          <w:ilvl w:val="0"/>
          <w:numId w:val="1"/>
        </w:numPr>
        <w:spacing w:after="240"/>
        <w:rPr>
          <w:rFonts w:asciiTheme="minorHAnsi" w:hAnsiTheme="minorHAnsi"/>
          <w:sz w:val="24"/>
          <w:szCs w:val="24"/>
        </w:rPr>
      </w:pPr>
      <w:r w:rsidRPr="00C225BE">
        <w:rPr>
          <w:rFonts w:asciiTheme="minorHAnsi" w:hAnsiTheme="minorHAnsi"/>
          <w:sz w:val="24"/>
          <w:szCs w:val="24"/>
        </w:rPr>
        <w:t>Technical significance: The taskforce introduces a formal accountability structure for monitoring SRHR service accessibility, facility readiness, inclusive communication, and provider competence.</w:t>
      </w:r>
    </w:p>
    <w:p w14:paraId="6442686E" w14:textId="77777777" w:rsidR="00D04F94" w:rsidRPr="00C225BE" w:rsidRDefault="00000000" w:rsidP="00D2189C">
      <w:pPr>
        <w:pStyle w:val="Heading4"/>
        <w:rPr>
          <w:rFonts w:asciiTheme="minorHAnsi" w:hAnsiTheme="minorHAnsi"/>
          <w:sz w:val="24"/>
          <w:szCs w:val="24"/>
        </w:rPr>
      </w:pPr>
      <w:r w:rsidRPr="00C225BE">
        <w:rPr>
          <w:rFonts w:asciiTheme="minorHAnsi" w:hAnsiTheme="minorHAnsi"/>
          <w:sz w:val="24"/>
          <w:szCs w:val="24"/>
        </w:rPr>
        <w:t>3. Optimized Health Financing Through Participatory Budgeting</w:t>
      </w:r>
    </w:p>
    <w:p w14:paraId="62AD25BE" w14:textId="77777777" w:rsidR="00D04F94" w:rsidRPr="00C225BE" w:rsidRDefault="00000000">
      <w:pPr>
        <w:spacing w:after="0"/>
        <w:rPr>
          <w:rFonts w:asciiTheme="minorHAnsi" w:hAnsiTheme="minorHAnsi"/>
          <w:b/>
          <w:bCs/>
          <w:sz w:val="24"/>
          <w:szCs w:val="24"/>
        </w:rPr>
      </w:pPr>
      <w:r w:rsidRPr="00C225BE">
        <w:rPr>
          <w:rFonts w:asciiTheme="minorHAnsi" w:hAnsiTheme="minorHAnsi"/>
          <w:b/>
          <w:bCs/>
          <w:sz w:val="24"/>
          <w:szCs w:val="24"/>
        </w:rPr>
        <w:t>Kilifi County</w:t>
      </w:r>
    </w:p>
    <w:p w14:paraId="278DC570" w14:textId="77777777" w:rsidR="00D04F94" w:rsidRPr="00C225BE" w:rsidRDefault="00000000">
      <w:pPr>
        <w:numPr>
          <w:ilvl w:val="0"/>
          <w:numId w:val="7"/>
        </w:numPr>
        <w:spacing w:after="0"/>
        <w:rPr>
          <w:rFonts w:asciiTheme="minorHAnsi" w:hAnsiTheme="minorHAnsi"/>
          <w:sz w:val="24"/>
          <w:szCs w:val="24"/>
        </w:rPr>
      </w:pPr>
      <w:r w:rsidRPr="00C225BE">
        <w:rPr>
          <w:rFonts w:asciiTheme="minorHAnsi" w:hAnsiTheme="minorHAnsi"/>
          <w:sz w:val="24"/>
          <w:szCs w:val="24"/>
        </w:rPr>
        <w:t>HENNET-supported participatory budgeting dialogues and scorecard audits informed the FY2025/26 Program-Based Budget (PBB), resulting in:</w:t>
      </w:r>
    </w:p>
    <w:p w14:paraId="04DC243F" w14:textId="77777777" w:rsidR="00D04F94" w:rsidRPr="00C225BE" w:rsidRDefault="00000000">
      <w:pPr>
        <w:numPr>
          <w:ilvl w:val="1"/>
          <w:numId w:val="7"/>
        </w:numPr>
        <w:spacing w:after="0"/>
        <w:rPr>
          <w:rFonts w:asciiTheme="minorHAnsi" w:hAnsiTheme="minorHAnsi"/>
          <w:sz w:val="24"/>
          <w:szCs w:val="24"/>
        </w:rPr>
      </w:pP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8,000,000 allocation for completion of </w:t>
      </w:r>
      <w:proofErr w:type="spellStart"/>
      <w:r w:rsidRPr="00C225BE">
        <w:rPr>
          <w:rFonts w:asciiTheme="minorHAnsi" w:hAnsiTheme="minorHAnsi"/>
          <w:sz w:val="24"/>
          <w:szCs w:val="24"/>
        </w:rPr>
        <w:t>Pingilikani</w:t>
      </w:r>
      <w:proofErr w:type="spellEnd"/>
      <w:r w:rsidRPr="00C225BE">
        <w:rPr>
          <w:rFonts w:asciiTheme="minorHAnsi" w:hAnsiTheme="minorHAnsi"/>
          <w:sz w:val="24"/>
          <w:szCs w:val="24"/>
        </w:rPr>
        <w:t xml:space="preserve"> Dispensary maternity wing, contributing to improved maternal and newborn service readiness.</w:t>
      </w:r>
    </w:p>
    <w:p w14:paraId="0C672E1A" w14:textId="77777777" w:rsidR="00D04F94" w:rsidRPr="00C225BE" w:rsidRDefault="00000000">
      <w:pPr>
        <w:numPr>
          <w:ilvl w:val="1"/>
          <w:numId w:val="7"/>
        </w:numPr>
        <w:spacing w:after="0"/>
        <w:rPr>
          <w:rFonts w:asciiTheme="minorHAnsi" w:hAnsiTheme="minorHAnsi"/>
          <w:sz w:val="24"/>
          <w:szCs w:val="24"/>
        </w:rPr>
      </w:pP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2,000,000 allocation for completion of Milalani Dispensary, addressing geographic access barriers in underserved wards.</w:t>
      </w:r>
    </w:p>
    <w:p w14:paraId="6D604B2C" w14:textId="77777777" w:rsidR="00D04F94" w:rsidRPr="00C225BE" w:rsidRDefault="00000000">
      <w:pPr>
        <w:numPr>
          <w:ilvl w:val="0"/>
          <w:numId w:val="7"/>
        </w:numPr>
        <w:spacing w:after="0"/>
        <w:rPr>
          <w:rFonts w:asciiTheme="minorHAnsi" w:hAnsiTheme="minorHAnsi"/>
          <w:sz w:val="24"/>
          <w:szCs w:val="24"/>
        </w:rPr>
      </w:pPr>
      <w:r w:rsidRPr="00C225BE">
        <w:rPr>
          <w:rFonts w:asciiTheme="minorHAnsi" w:hAnsiTheme="minorHAnsi"/>
          <w:sz w:val="24"/>
          <w:szCs w:val="24"/>
        </w:rPr>
        <w:t>The Kilifi County Referral Hospital CT scan was procured and operationalized, expanding the county’s diagnostic imaging capacity and reducing referral burden to Mombasa.</w:t>
      </w:r>
    </w:p>
    <w:p w14:paraId="2230CBE0" w14:textId="77777777" w:rsidR="00D04F94" w:rsidRPr="00C225BE" w:rsidRDefault="00000000">
      <w:pPr>
        <w:numPr>
          <w:ilvl w:val="0"/>
          <w:numId w:val="7"/>
        </w:numPr>
        <w:spacing w:after="240"/>
        <w:rPr>
          <w:rFonts w:asciiTheme="minorHAnsi" w:hAnsiTheme="minorHAnsi"/>
          <w:sz w:val="24"/>
          <w:szCs w:val="24"/>
        </w:rPr>
      </w:pPr>
      <w:r w:rsidRPr="00C225BE">
        <w:rPr>
          <w:rFonts w:asciiTheme="minorHAnsi" w:hAnsiTheme="minorHAnsi"/>
          <w:sz w:val="24"/>
          <w:szCs w:val="24"/>
        </w:rPr>
        <w:lastRenderedPageBreak/>
        <w:t>Technical significance: Social participation strengthened the link between community-identified gaps and fiscal prioritization, improving allocative efficiency within the county health budget.</w:t>
      </w:r>
    </w:p>
    <w:p w14:paraId="450A11A3" w14:textId="77777777" w:rsidR="00D04F94" w:rsidRPr="00C225BE" w:rsidRDefault="00000000">
      <w:pPr>
        <w:spacing w:after="0"/>
        <w:rPr>
          <w:rFonts w:asciiTheme="minorHAnsi" w:hAnsiTheme="minorHAnsi"/>
          <w:b/>
          <w:bCs/>
          <w:sz w:val="24"/>
          <w:szCs w:val="24"/>
        </w:rPr>
      </w:pPr>
      <w:r w:rsidRPr="00C225BE">
        <w:rPr>
          <w:rFonts w:asciiTheme="minorHAnsi" w:hAnsiTheme="minorHAnsi"/>
          <w:b/>
          <w:bCs/>
          <w:sz w:val="24"/>
          <w:szCs w:val="24"/>
        </w:rPr>
        <w:t>Kitui County</w:t>
      </w:r>
    </w:p>
    <w:p w14:paraId="2E537C13"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In Kilifi, HENNET-supported participatory budgeting dialogues generated actionable evidence on service delivery gaps, particularly in maternal health, facility infrastructure, and diagnostic services. Community representatives presented these findings to the County Treasury, County Health Management Team (CHMT), and Budget and Appropriations Committee, highlighting risks associated with stalled construction projects, inadequate facility coverage, and delayed diagnostic capacity.</w:t>
      </w:r>
    </w:p>
    <w:p w14:paraId="53CBA0EB"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These structured engagements resulted in notable allocations in the FY2025/26 budget:</w:t>
      </w:r>
    </w:p>
    <w:p w14:paraId="45E9442B" w14:textId="77777777" w:rsidR="00D04F94" w:rsidRPr="00C225BE" w:rsidRDefault="00000000">
      <w:pPr>
        <w:numPr>
          <w:ilvl w:val="0"/>
          <w:numId w:val="5"/>
        </w:numPr>
        <w:spacing w:after="0"/>
        <w:rPr>
          <w:rFonts w:asciiTheme="minorHAnsi" w:hAnsiTheme="minorHAnsi"/>
          <w:sz w:val="24"/>
          <w:szCs w:val="24"/>
        </w:rPr>
      </w:pPr>
      <w:proofErr w:type="spellStart"/>
      <w:r w:rsidRPr="00C225BE">
        <w:rPr>
          <w:rFonts w:asciiTheme="minorHAnsi" w:eastAsia="Times New Roman" w:hAnsiTheme="minorHAnsi" w:cs="Times New Roman"/>
          <w:sz w:val="24"/>
          <w:szCs w:val="24"/>
        </w:rPr>
        <w:t>Ksh</w:t>
      </w:r>
      <w:proofErr w:type="spellEnd"/>
      <w:r w:rsidRPr="00C225BE">
        <w:rPr>
          <w:rFonts w:asciiTheme="minorHAnsi" w:eastAsia="Times New Roman" w:hAnsiTheme="minorHAnsi" w:cs="Times New Roman"/>
          <w:sz w:val="24"/>
          <w:szCs w:val="24"/>
        </w:rPr>
        <w:t xml:space="preserve"> 8,000,000 for completion of the </w:t>
      </w:r>
      <w:proofErr w:type="spellStart"/>
      <w:r w:rsidRPr="00C225BE">
        <w:rPr>
          <w:rFonts w:asciiTheme="minorHAnsi" w:eastAsia="Times New Roman" w:hAnsiTheme="minorHAnsi" w:cs="Times New Roman"/>
          <w:sz w:val="24"/>
          <w:szCs w:val="24"/>
        </w:rPr>
        <w:t>Pingilikani</w:t>
      </w:r>
      <w:proofErr w:type="spellEnd"/>
      <w:r w:rsidRPr="00C225BE">
        <w:rPr>
          <w:rFonts w:asciiTheme="minorHAnsi" w:eastAsia="Times New Roman" w:hAnsiTheme="minorHAnsi" w:cs="Times New Roman"/>
          <w:sz w:val="24"/>
          <w:szCs w:val="24"/>
        </w:rPr>
        <w:t xml:space="preserve"> Dispensary maternity wing</w:t>
      </w:r>
    </w:p>
    <w:p w14:paraId="20E8F592" w14:textId="77777777" w:rsidR="00D04F94" w:rsidRPr="00C225BE" w:rsidRDefault="00000000">
      <w:pPr>
        <w:numPr>
          <w:ilvl w:val="0"/>
          <w:numId w:val="5"/>
        </w:numPr>
        <w:spacing w:after="0"/>
        <w:rPr>
          <w:rFonts w:asciiTheme="minorHAnsi" w:hAnsiTheme="minorHAnsi"/>
          <w:sz w:val="24"/>
          <w:szCs w:val="24"/>
        </w:rPr>
      </w:pPr>
      <w:proofErr w:type="spellStart"/>
      <w:r w:rsidRPr="00C225BE">
        <w:rPr>
          <w:rFonts w:asciiTheme="minorHAnsi" w:eastAsia="Times New Roman" w:hAnsiTheme="minorHAnsi" w:cs="Times New Roman"/>
          <w:sz w:val="24"/>
          <w:szCs w:val="24"/>
        </w:rPr>
        <w:t>Ksh</w:t>
      </w:r>
      <w:proofErr w:type="spellEnd"/>
      <w:r w:rsidRPr="00C225BE">
        <w:rPr>
          <w:rFonts w:asciiTheme="minorHAnsi" w:eastAsia="Times New Roman" w:hAnsiTheme="minorHAnsi" w:cs="Times New Roman"/>
          <w:sz w:val="24"/>
          <w:szCs w:val="24"/>
        </w:rPr>
        <w:t xml:space="preserve"> 2,000,000 for completion of Milalani Dispensary</w:t>
      </w:r>
    </w:p>
    <w:p w14:paraId="2421B49D" w14:textId="77777777" w:rsidR="00D04F94" w:rsidRPr="00C225BE" w:rsidRDefault="00000000">
      <w:pPr>
        <w:numPr>
          <w:ilvl w:val="0"/>
          <w:numId w:val="5"/>
        </w:numPr>
        <w:spacing w:after="0"/>
        <w:rPr>
          <w:rFonts w:asciiTheme="minorHAnsi" w:hAnsiTheme="minorHAnsi"/>
          <w:sz w:val="24"/>
          <w:szCs w:val="24"/>
        </w:rPr>
      </w:pPr>
      <w:r w:rsidRPr="00C225BE">
        <w:rPr>
          <w:rFonts w:asciiTheme="minorHAnsi" w:eastAsia="Times New Roman" w:hAnsiTheme="minorHAnsi" w:cs="Times New Roman"/>
          <w:sz w:val="24"/>
          <w:szCs w:val="24"/>
        </w:rPr>
        <w:t>Operationalization of the Kilifi County Referral Hospital CT scan, enabling local diagnostic imaging services</w:t>
      </w:r>
    </w:p>
    <w:p w14:paraId="3C1AA4F5" w14:textId="77777777" w:rsidR="00D04F94" w:rsidRPr="00C225BE" w:rsidRDefault="00000000">
      <w:pPr>
        <w:numPr>
          <w:ilvl w:val="0"/>
          <w:numId w:val="5"/>
        </w:numPr>
        <w:spacing w:after="0"/>
        <w:jc w:val="both"/>
        <w:rPr>
          <w:rFonts w:asciiTheme="minorHAnsi" w:hAnsiTheme="minorHAnsi"/>
          <w:sz w:val="24"/>
          <w:szCs w:val="24"/>
        </w:rPr>
      </w:pPr>
      <w:r w:rsidRPr="00C225BE">
        <w:rPr>
          <w:rFonts w:asciiTheme="minorHAnsi" w:eastAsia="Times New Roman" w:hAnsiTheme="minorHAnsi" w:cs="Times New Roman"/>
          <w:sz w:val="24"/>
          <w:szCs w:val="24"/>
        </w:rPr>
        <w:t>These decisions reflected a visible shift from politically driven project selection to evidence-guided, community-prioritized investments.</w:t>
      </w:r>
    </w:p>
    <w:p w14:paraId="65370E23" w14:textId="77777777" w:rsidR="00D04F94" w:rsidRPr="00C225BE" w:rsidRDefault="00000000" w:rsidP="00D2189C">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allocations fill critical maternal and newborn health infrastructure gaps, reduce geographic barriers to essential services, and strengthen diagnostic capacity at the county referral level directly influencing clinical decision-making, emergency referrals, and patient management outcomes.</w:t>
      </w:r>
    </w:p>
    <w:p w14:paraId="0C264B54" w14:textId="77777777" w:rsidR="00D04F94" w:rsidRPr="00C225BE" w:rsidRDefault="00000000" w:rsidP="00D2189C">
      <w:pPr>
        <w:pStyle w:val="Heading4"/>
        <w:rPr>
          <w:rFonts w:asciiTheme="minorHAnsi" w:hAnsiTheme="minorHAnsi"/>
          <w:sz w:val="24"/>
          <w:szCs w:val="24"/>
        </w:rPr>
      </w:pPr>
      <w:r w:rsidRPr="00C225BE">
        <w:rPr>
          <w:rFonts w:asciiTheme="minorHAnsi" w:hAnsiTheme="minorHAnsi"/>
          <w:sz w:val="24"/>
          <w:szCs w:val="24"/>
        </w:rPr>
        <w:t>4. Strengthening Equity-Focused Financing and Service Delivery</w:t>
      </w:r>
    </w:p>
    <w:p w14:paraId="34249D99" w14:textId="77777777" w:rsidR="00D04F94" w:rsidRPr="00C225BE" w:rsidRDefault="00000000">
      <w:pPr>
        <w:spacing w:after="0"/>
        <w:rPr>
          <w:rFonts w:asciiTheme="minorHAnsi" w:hAnsiTheme="minorHAnsi"/>
          <w:b/>
          <w:bCs/>
          <w:sz w:val="24"/>
          <w:szCs w:val="24"/>
        </w:rPr>
      </w:pPr>
      <w:r w:rsidRPr="00C225BE">
        <w:rPr>
          <w:rFonts w:asciiTheme="minorHAnsi" w:hAnsiTheme="minorHAnsi"/>
          <w:b/>
          <w:bCs/>
          <w:sz w:val="24"/>
          <w:szCs w:val="24"/>
        </w:rPr>
        <w:t>Laikipia County</w:t>
      </w:r>
    </w:p>
    <w:p w14:paraId="7BBEC661" w14:textId="77777777" w:rsidR="00D04F94" w:rsidRPr="00C225BE" w:rsidRDefault="00000000">
      <w:pPr>
        <w:numPr>
          <w:ilvl w:val="0"/>
          <w:numId w:val="3"/>
        </w:numPr>
        <w:spacing w:after="0"/>
        <w:rPr>
          <w:rFonts w:asciiTheme="minorHAnsi" w:hAnsiTheme="minorHAnsi"/>
          <w:sz w:val="24"/>
          <w:szCs w:val="24"/>
        </w:rPr>
      </w:pPr>
      <w:r w:rsidRPr="00C225BE">
        <w:rPr>
          <w:rFonts w:asciiTheme="minorHAnsi" w:hAnsiTheme="minorHAnsi"/>
          <w:sz w:val="24"/>
          <w:szCs w:val="24"/>
        </w:rPr>
        <w:t xml:space="preserve">Disability Inclusion: A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400,000 allocation was secured in FY2025/26 for the Persons with Disabilities Program, following disability inclusion forums informed by community-generated evidence.</w:t>
      </w:r>
    </w:p>
    <w:p w14:paraId="60CD623C" w14:textId="77777777" w:rsidR="00D04F94" w:rsidRPr="00C225BE" w:rsidRDefault="00000000">
      <w:pPr>
        <w:numPr>
          <w:ilvl w:val="0"/>
          <w:numId w:val="3"/>
        </w:numPr>
        <w:spacing w:after="0"/>
        <w:rPr>
          <w:rFonts w:asciiTheme="minorHAnsi" w:hAnsiTheme="minorHAnsi"/>
          <w:sz w:val="24"/>
          <w:szCs w:val="24"/>
        </w:rPr>
      </w:pPr>
      <w:r w:rsidRPr="00C225BE">
        <w:rPr>
          <w:rFonts w:asciiTheme="minorHAnsi" w:hAnsiTheme="minorHAnsi"/>
          <w:sz w:val="24"/>
          <w:szCs w:val="24"/>
        </w:rPr>
        <w:t xml:space="preserve">Youth Empowerment: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200,000 allocated for youth mentorship and empowerment, promoting intergenerational participation in health decision-making.</w:t>
      </w:r>
    </w:p>
    <w:p w14:paraId="423E8052" w14:textId="77777777" w:rsidR="00D04F94" w:rsidRPr="00C225BE" w:rsidRDefault="00000000">
      <w:pPr>
        <w:numPr>
          <w:ilvl w:val="0"/>
          <w:numId w:val="3"/>
        </w:numPr>
        <w:spacing w:after="0"/>
        <w:rPr>
          <w:rFonts w:asciiTheme="minorHAnsi" w:hAnsiTheme="minorHAnsi"/>
          <w:sz w:val="24"/>
          <w:szCs w:val="24"/>
        </w:rPr>
      </w:pPr>
      <w:r w:rsidRPr="00C225BE">
        <w:rPr>
          <w:rFonts w:asciiTheme="minorHAnsi" w:hAnsiTheme="minorHAnsi"/>
          <w:sz w:val="24"/>
          <w:szCs w:val="24"/>
        </w:rPr>
        <w:t xml:space="preserve">Emergency Medical Services: A fully equipped ambulance was procured (March 2025), accompanied by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9,000,000 for fleet operations and maintenance in FY2025/26—responding to community concerns on EMS response time.</w:t>
      </w:r>
    </w:p>
    <w:p w14:paraId="72CDB289" w14:textId="77777777" w:rsidR="00D04F94" w:rsidRPr="00C225BE" w:rsidRDefault="00000000">
      <w:pPr>
        <w:numPr>
          <w:ilvl w:val="0"/>
          <w:numId w:val="3"/>
        </w:numPr>
        <w:spacing w:after="0"/>
        <w:rPr>
          <w:rFonts w:asciiTheme="minorHAnsi" w:hAnsiTheme="minorHAnsi"/>
          <w:sz w:val="24"/>
          <w:szCs w:val="24"/>
        </w:rPr>
      </w:pPr>
      <w:r w:rsidRPr="00C225BE">
        <w:rPr>
          <w:rFonts w:asciiTheme="minorHAnsi" w:hAnsiTheme="minorHAnsi"/>
          <w:sz w:val="24"/>
          <w:szCs w:val="24"/>
        </w:rPr>
        <w:t xml:space="preserve">Community Health Workforce: The county allocated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36,000,000 for Community Health Promoter (CHP) stipends and logistics support, aligned with the national Community Health Policy and Universal Health Coverage (UHC) commitments.</w:t>
      </w:r>
    </w:p>
    <w:p w14:paraId="58472F6C" w14:textId="77777777" w:rsidR="00D04F94" w:rsidRPr="00C225BE" w:rsidRDefault="00000000">
      <w:pPr>
        <w:numPr>
          <w:ilvl w:val="0"/>
          <w:numId w:val="3"/>
        </w:numPr>
        <w:spacing w:after="240"/>
        <w:rPr>
          <w:rFonts w:asciiTheme="minorHAnsi" w:hAnsiTheme="minorHAnsi"/>
          <w:sz w:val="24"/>
          <w:szCs w:val="24"/>
        </w:rPr>
      </w:pPr>
      <w:r w:rsidRPr="00C225BE">
        <w:rPr>
          <w:rFonts w:asciiTheme="minorHAnsi" w:hAnsiTheme="minorHAnsi"/>
          <w:sz w:val="24"/>
          <w:szCs w:val="24"/>
        </w:rPr>
        <w:lastRenderedPageBreak/>
        <w:t>Technical significance: These allocations enhance system responsiveness, equity in service access, and performance of the PHC-oriented community health system</w:t>
      </w:r>
    </w:p>
    <w:p w14:paraId="3DF3339A" w14:textId="77777777" w:rsidR="00D04F94" w:rsidRPr="00C225BE" w:rsidRDefault="00000000" w:rsidP="00D2189C">
      <w:pPr>
        <w:pStyle w:val="Heading4"/>
        <w:rPr>
          <w:rFonts w:asciiTheme="minorHAnsi" w:hAnsiTheme="minorHAnsi"/>
          <w:sz w:val="24"/>
          <w:szCs w:val="24"/>
        </w:rPr>
      </w:pPr>
      <w:r w:rsidRPr="00C225BE">
        <w:rPr>
          <w:rFonts w:asciiTheme="minorHAnsi" w:hAnsiTheme="minorHAnsi"/>
          <w:sz w:val="24"/>
          <w:szCs w:val="24"/>
        </w:rPr>
        <w:t>National-Level Achievements: Advancing Social Participation in Health Governance</w:t>
      </w:r>
    </w:p>
    <w:p w14:paraId="360F6DF7"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At the national level, the SPHERE project achieved substantial progress in embedding social participation into Kenya’s evolving health governance architecture. Through coordinated technical advocacy, evidence dissemination, and structured engagement with national actors, HENNET elevated civil society perspectives into high-level policy processes.</w:t>
      </w:r>
    </w:p>
    <w:p w14:paraId="08FA8077" w14:textId="77777777" w:rsidR="00D04F94" w:rsidRPr="00C225BE" w:rsidRDefault="00000000">
      <w:pPr>
        <w:spacing w:after="0"/>
        <w:jc w:val="both"/>
        <w:rPr>
          <w:rFonts w:asciiTheme="minorHAnsi" w:eastAsia="Times New Roman" w:hAnsiTheme="minorHAnsi" w:cs="Times New Roman"/>
          <w:b/>
          <w:bCs/>
          <w:sz w:val="24"/>
          <w:szCs w:val="24"/>
        </w:rPr>
      </w:pPr>
      <w:r w:rsidRPr="00C225BE">
        <w:rPr>
          <w:rFonts w:asciiTheme="minorHAnsi" w:eastAsia="Times New Roman" w:hAnsiTheme="minorHAnsi" w:cs="Times New Roman"/>
          <w:b/>
          <w:bCs/>
          <w:sz w:val="24"/>
          <w:szCs w:val="24"/>
        </w:rPr>
        <w:t>Key outcomes included:</w:t>
      </w:r>
    </w:p>
    <w:p w14:paraId="0D1EFFA5" w14:textId="77777777" w:rsidR="00D04F94" w:rsidRPr="00C225BE" w:rsidRDefault="00000000">
      <w:pPr>
        <w:numPr>
          <w:ilvl w:val="0"/>
          <w:numId w:val="6"/>
        </w:numPr>
        <w:spacing w:after="0"/>
        <w:rPr>
          <w:rFonts w:asciiTheme="minorHAnsi" w:eastAsia="Arial" w:hAnsiTheme="minorHAnsi" w:cs="Arial"/>
          <w:sz w:val="24"/>
          <w:szCs w:val="24"/>
        </w:rPr>
      </w:pPr>
      <w:r w:rsidRPr="00C225BE">
        <w:rPr>
          <w:rFonts w:asciiTheme="minorHAnsi" w:eastAsia="Times New Roman" w:hAnsiTheme="minorHAnsi" w:cs="Times New Roman"/>
          <w:sz w:val="24"/>
          <w:szCs w:val="24"/>
        </w:rPr>
        <w:t>Reaching over 500 CSO representatives through two national SHA sensitization and public participation forums enhancing sector-wide understanding of SHA reforms and rights-based engagement mechanisms.</w:t>
      </w:r>
    </w:p>
    <w:p w14:paraId="79420912" w14:textId="77777777" w:rsidR="00D04F94" w:rsidRPr="00C225BE" w:rsidRDefault="00000000">
      <w:pPr>
        <w:numPr>
          <w:ilvl w:val="0"/>
          <w:numId w:val="6"/>
        </w:numPr>
        <w:spacing w:after="0"/>
        <w:rPr>
          <w:rFonts w:asciiTheme="minorHAnsi" w:eastAsia="Arial" w:hAnsiTheme="minorHAnsi" w:cs="Arial"/>
          <w:sz w:val="24"/>
          <w:szCs w:val="24"/>
        </w:rPr>
      </w:pPr>
      <w:r w:rsidRPr="00C225BE">
        <w:rPr>
          <w:rFonts w:asciiTheme="minorHAnsi" w:eastAsia="Times New Roman" w:hAnsiTheme="minorHAnsi" w:cs="Times New Roman"/>
          <w:sz w:val="24"/>
          <w:szCs w:val="24"/>
        </w:rPr>
        <w:t>Submission of evidence-based memoranda to influence national health budget allocations, drawing directly from county feedback and the UHC research findings.</w:t>
      </w:r>
    </w:p>
    <w:p w14:paraId="7562F737" w14:textId="77777777" w:rsidR="00D04F94" w:rsidRPr="00C225BE" w:rsidRDefault="00000000">
      <w:pPr>
        <w:numPr>
          <w:ilvl w:val="0"/>
          <w:numId w:val="6"/>
        </w:numPr>
        <w:spacing w:after="0"/>
        <w:rPr>
          <w:rFonts w:asciiTheme="minorHAnsi" w:eastAsia="Arial" w:hAnsiTheme="minorHAnsi" w:cs="Arial"/>
          <w:sz w:val="24"/>
          <w:szCs w:val="24"/>
        </w:rPr>
      </w:pPr>
      <w:r w:rsidRPr="00C225BE">
        <w:rPr>
          <w:rFonts w:asciiTheme="minorHAnsi" w:eastAsia="Times New Roman" w:hAnsiTheme="minorHAnsi" w:cs="Times New Roman"/>
          <w:sz w:val="24"/>
          <w:szCs w:val="24"/>
        </w:rPr>
        <w:t>Contributing to the development of the National Public Participation Bill, led by the Attorney General’s Office. HENNET ensured that the Bill includes operational clarity on engagement modalities, feedback obligations, and mechanisms for inclusion of marginalized populations.</w:t>
      </w:r>
    </w:p>
    <w:p w14:paraId="70B2E699"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These engagements strengthened the alignment between constitutional principles and implementable models for structured participation at national and county levels.</w:t>
      </w:r>
    </w:p>
    <w:p w14:paraId="1A4571E5" w14:textId="77777777" w:rsidR="00D04F94" w:rsidRPr="00C225BE" w:rsidRDefault="00000000">
      <w:pPr>
        <w:spacing w:after="0"/>
        <w:ind w:left="720"/>
        <w:rPr>
          <w:rFonts w:asciiTheme="minorHAnsi" w:hAnsiTheme="minorHAnsi"/>
          <w:sz w:val="24"/>
          <w:szCs w:val="24"/>
        </w:rPr>
      </w:pPr>
      <w:r w:rsidRPr="00C225BE">
        <w:rPr>
          <w:rFonts w:asciiTheme="minorHAnsi" w:hAnsiTheme="minorHAnsi"/>
          <w:sz w:val="24"/>
          <w:szCs w:val="24"/>
        </w:rPr>
        <w:t xml:space="preserve"> </w:t>
      </w:r>
    </w:p>
    <w:p w14:paraId="752F30D6" w14:textId="77777777" w:rsidR="00D04F94" w:rsidRPr="00C225BE" w:rsidRDefault="00000000" w:rsidP="00D2189C">
      <w:pPr>
        <w:pStyle w:val="Heading4"/>
        <w:rPr>
          <w:rFonts w:asciiTheme="minorHAnsi" w:hAnsiTheme="minorHAnsi"/>
          <w:sz w:val="24"/>
          <w:szCs w:val="24"/>
        </w:rPr>
      </w:pPr>
      <w:r w:rsidRPr="00C225BE">
        <w:rPr>
          <w:rFonts w:asciiTheme="minorHAnsi" w:hAnsiTheme="minorHAnsi"/>
          <w:sz w:val="24"/>
          <w:szCs w:val="24"/>
        </w:rPr>
        <w:t>Engagement in the Public Participation Bill Process</w:t>
      </w:r>
    </w:p>
    <w:p w14:paraId="2E7168FF" w14:textId="77777777" w:rsidR="00D04F94" w:rsidRPr="00C225BE" w:rsidRDefault="00000000" w:rsidP="00D2189C">
      <w:pPr>
        <w:spacing w:after="0"/>
        <w:jc w:val="both"/>
        <w:rPr>
          <w:rFonts w:asciiTheme="minorHAnsi" w:hAnsiTheme="minorHAnsi"/>
          <w:sz w:val="24"/>
          <w:szCs w:val="24"/>
        </w:rPr>
      </w:pPr>
      <w:r w:rsidRPr="00C225BE">
        <w:rPr>
          <w:rFonts w:asciiTheme="minorHAnsi" w:hAnsiTheme="minorHAnsi"/>
          <w:sz w:val="24"/>
          <w:szCs w:val="24"/>
        </w:rPr>
        <w:t>HENNET’s technical advocacy contributed directly to the development of a standalone Public Participation Bill, led by the Attorney General’s Office (AGO) in 2024, under the oversight of the Solicitor General and with active engagement from civil society, state agencies, marginalized groups, and county governments.</w:t>
      </w:r>
    </w:p>
    <w:p w14:paraId="4FD5BDCD" w14:textId="77777777" w:rsidR="00D04F94" w:rsidRPr="00C225BE" w:rsidRDefault="00000000">
      <w:pPr>
        <w:spacing w:after="0"/>
        <w:ind w:left="720"/>
        <w:rPr>
          <w:rFonts w:asciiTheme="minorHAnsi" w:hAnsiTheme="minorHAnsi"/>
          <w:b/>
          <w:bCs/>
          <w:sz w:val="24"/>
          <w:szCs w:val="24"/>
        </w:rPr>
      </w:pPr>
      <w:r w:rsidRPr="00C225BE">
        <w:rPr>
          <w:rFonts w:asciiTheme="minorHAnsi" w:hAnsiTheme="minorHAnsi"/>
          <w:b/>
          <w:bCs/>
          <w:sz w:val="24"/>
          <w:szCs w:val="24"/>
        </w:rPr>
        <w:t>Direct Technical Outcomes for HENNET</w:t>
      </w:r>
    </w:p>
    <w:p w14:paraId="55DF4008" w14:textId="77777777" w:rsidR="00D04F94" w:rsidRPr="00C225BE" w:rsidRDefault="00000000">
      <w:pPr>
        <w:spacing w:after="0"/>
        <w:ind w:left="720"/>
        <w:rPr>
          <w:rFonts w:asciiTheme="minorHAnsi" w:hAnsiTheme="minorHAnsi"/>
          <w:sz w:val="24"/>
          <w:szCs w:val="24"/>
        </w:rPr>
      </w:pPr>
      <w:r w:rsidRPr="00C225BE">
        <w:rPr>
          <w:rFonts w:asciiTheme="minorHAnsi" w:hAnsiTheme="minorHAnsi"/>
          <w:sz w:val="24"/>
          <w:szCs w:val="24"/>
        </w:rPr>
        <w:t>Through structured advocacy and technical engagement, the project achieved the following measurable outcomes:</w:t>
      </w:r>
    </w:p>
    <w:p w14:paraId="70A85596" w14:textId="77777777" w:rsidR="00D04F94" w:rsidRPr="00C225BE" w:rsidRDefault="00000000">
      <w:pPr>
        <w:numPr>
          <w:ilvl w:val="0"/>
          <w:numId w:val="2"/>
        </w:numPr>
        <w:spacing w:after="0"/>
        <w:rPr>
          <w:rFonts w:asciiTheme="minorHAnsi" w:hAnsiTheme="minorHAnsi"/>
          <w:sz w:val="24"/>
          <w:szCs w:val="24"/>
        </w:rPr>
      </w:pPr>
      <w:r w:rsidRPr="00C225BE">
        <w:rPr>
          <w:rFonts w:asciiTheme="minorHAnsi" w:hAnsiTheme="minorHAnsi"/>
          <w:b/>
          <w:bCs/>
          <w:sz w:val="24"/>
          <w:szCs w:val="24"/>
        </w:rPr>
        <w:t>Representation in Key Governance Structures</w:t>
      </w:r>
    </w:p>
    <w:p w14:paraId="04E83DCD" w14:textId="77777777" w:rsidR="00D04F94" w:rsidRPr="00C225BE" w:rsidRDefault="00000000">
      <w:pPr>
        <w:numPr>
          <w:ilvl w:val="1"/>
          <w:numId w:val="2"/>
        </w:numPr>
        <w:spacing w:after="0"/>
        <w:rPr>
          <w:rFonts w:asciiTheme="minorHAnsi" w:eastAsia="Arial" w:hAnsiTheme="minorHAnsi" w:cs="Arial"/>
          <w:sz w:val="24"/>
          <w:szCs w:val="24"/>
        </w:rPr>
      </w:pPr>
      <w:r w:rsidRPr="00C225BE">
        <w:rPr>
          <w:rFonts w:asciiTheme="minorHAnsi" w:hAnsiTheme="minorHAnsi"/>
          <w:sz w:val="24"/>
          <w:szCs w:val="24"/>
        </w:rPr>
        <w:t>Dr. Mary Nyamongo and Dr. Gabriel appointed to the SHA Benefits and Tariffs Advisory Board, ensuring civil society perspectives in health financing decisions.</w:t>
      </w:r>
    </w:p>
    <w:p w14:paraId="5C97A0EF" w14:textId="77777777" w:rsidR="00D04F94" w:rsidRPr="00C225BE" w:rsidRDefault="00000000">
      <w:pPr>
        <w:numPr>
          <w:ilvl w:val="1"/>
          <w:numId w:val="2"/>
        </w:numPr>
        <w:spacing w:after="0"/>
        <w:rPr>
          <w:rFonts w:asciiTheme="minorHAnsi" w:eastAsia="Arial" w:hAnsiTheme="minorHAnsi" w:cs="Arial"/>
          <w:sz w:val="24"/>
          <w:szCs w:val="24"/>
        </w:rPr>
      </w:pPr>
      <w:r w:rsidRPr="00C225BE">
        <w:rPr>
          <w:rFonts w:asciiTheme="minorHAnsi" w:hAnsiTheme="minorHAnsi"/>
          <w:sz w:val="24"/>
          <w:szCs w:val="24"/>
        </w:rPr>
        <w:lastRenderedPageBreak/>
        <w:t>HENNET appointed to the National Technical Working Group for Health Financing, providing a platform to influence policy on resource allocation, risk pooling, and financial sustainability.</w:t>
      </w:r>
    </w:p>
    <w:p w14:paraId="4005EB42" w14:textId="77777777" w:rsidR="00D04F94" w:rsidRPr="00C225BE" w:rsidRDefault="00000000">
      <w:pPr>
        <w:numPr>
          <w:ilvl w:val="0"/>
          <w:numId w:val="2"/>
        </w:numPr>
        <w:spacing w:after="0"/>
        <w:rPr>
          <w:rFonts w:asciiTheme="minorHAnsi" w:hAnsiTheme="minorHAnsi"/>
          <w:sz w:val="24"/>
          <w:szCs w:val="24"/>
        </w:rPr>
      </w:pPr>
      <w:r w:rsidRPr="00C225BE">
        <w:rPr>
          <w:rFonts w:asciiTheme="minorHAnsi" w:hAnsiTheme="minorHAnsi"/>
          <w:b/>
          <w:bCs/>
          <w:sz w:val="24"/>
          <w:szCs w:val="24"/>
        </w:rPr>
        <w:t>Capacity Building and CSO Mobilization</w:t>
      </w:r>
    </w:p>
    <w:p w14:paraId="3E1F152C" w14:textId="77777777" w:rsidR="00D04F94" w:rsidRPr="00C225BE" w:rsidRDefault="00000000">
      <w:pPr>
        <w:numPr>
          <w:ilvl w:val="1"/>
          <w:numId w:val="2"/>
        </w:numPr>
        <w:spacing w:after="0"/>
        <w:rPr>
          <w:rFonts w:asciiTheme="minorHAnsi" w:eastAsia="Arial" w:hAnsiTheme="minorHAnsi" w:cs="Arial"/>
          <w:sz w:val="24"/>
          <w:szCs w:val="24"/>
        </w:rPr>
      </w:pPr>
      <w:r w:rsidRPr="00C225BE">
        <w:rPr>
          <w:rFonts w:asciiTheme="minorHAnsi" w:hAnsiTheme="minorHAnsi"/>
          <w:sz w:val="24"/>
          <w:szCs w:val="24"/>
        </w:rPr>
        <w:t>Hosted 2 national SHA sensitization and participation forums, engaging over 500 CSO representatives from diverse sectors.</w:t>
      </w:r>
    </w:p>
    <w:p w14:paraId="497C1CCA" w14:textId="77777777" w:rsidR="00D04F94" w:rsidRPr="00C225BE" w:rsidRDefault="00000000">
      <w:pPr>
        <w:numPr>
          <w:ilvl w:val="1"/>
          <w:numId w:val="2"/>
        </w:numPr>
        <w:spacing w:after="0"/>
        <w:rPr>
          <w:rFonts w:asciiTheme="minorHAnsi" w:eastAsia="Arial" w:hAnsiTheme="minorHAnsi" w:cs="Arial"/>
          <w:sz w:val="24"/>
          <w:szCs w:val="24"/>
        </w:rPr>
      </w:pPr>
      <w:r w:rsidRPr="00C225BE">
        <w:rPr>
          <w:rFonts w:asciiTheme="minorHAnsi" w:hAnsiTheme="minorHAnsi"/>
          <w:sz w:val="24"/>
          <w:szCs w:val="24"/>
        </w:rPr>
        <w:t>Strengthened technical capacity of members in health financing, public participation frameworks, and policy advocacy, equipping them to submit evidence-based recommendations at national policy fora.</w:t>
      </w:r>
    </w:p>
    <w:p w14:paraId="39694920" w14:textId="77777777" w:rsidR="00D04F94" w:rsidRPr="00C225BE" w:rsidRDefault="00000000">
      <w:pPr>
        <w:numPr>
          <w:ilvl w:val="0"/>
          <w:numId w:val="2"/>
        </w:numPr>
        <w:spacing w:after="0"/>
        <w:rPr>
          <w:rFonts w:asciiTheme="minorHAnsi" w:hAnsiTheme="minorHAnsi"/>
          <w:sz w:val="24"/>
          <w:szCs w:val="24"/>
        </w:rPr>
      </w:pPr>
      <w:r w:rsidRPr="00C225BE">
        <w:rPr>
          <w:rFonts w:asciiTheme="minorHAnsi" w:hAnsiTheme="minorHAnsi"/>
          <w:b/>
          <w:bCs/>
          <w:sz w:val="24"/>
          <w:szCs w:val="24"/>
        </w:rPr>
        <w:t>Policy Influence and Legal Framework Development</w:t>
      </w:r>
    </w:p>
    <w:p w14:paraId="17271F01" w14:textId="77777777" w:rsidR="00D04F94" w:rsidRPr="00C225BE" w:rsidRDefault="00000000">
      <w:pPr>
        <w:numPr>
          <w:ilvl w:val="1"/>
          <w:numId w:val="2"/>
        </w:numPr>
        <w:spacing w:after="0"/>
        <w:rPr>
          <w:rFonts w:asciiTheme="minorHAnsi" w:eastAsia="Arial" w:hAnsiTheme="minorHAnsi" w:cs="Arial"/>
          <w:sz w:val="24"/>
          <w:szCs w:val="24"/>
        </w:rPr>
      </w:pPr>
      <w:r w:rsidRPr="00C225BE">
        <w:rPr>
          <w:rFonts w:asciiTheme="minorHAnsi" w:hAnsiTheme="minorHAnsi"/>
          <w:sz w:val="24"/>
          <w:szCs w:val="24"/>
        </w:rPr>
        <w:t>Contributed to drafting technical inputs into the Public Participation Bill, ensuring that CSO and citizen engagement considerations were embedded in the legal framework.</w:t>
      </w:r>
    </w:p>
    <w:p w14:paraId="52DD1CB0" w14:textId="77777777" w:rsidR="00D04F94" w:rsidRPr="00C225BE" w:rsidRDefault="00000000">
      <w:pPr>
        <w:numPr>
          <w:ilvl w:val="1"/>
          <w:numId w:val="2"/>
        </w:numPr>
        <w:spacing w:after="240"/>
        <w:rPr>
          <w:rFonts w:asciiTheme="minorHAnsi" w:eastAsia="Arial" w:hAnsiTheme="minorHAnsi" w:cs="Arial"/>
          <w:sz w:val="24"/>
          <w:szCs w:val="24"/>
        </w:rPr>
      </w:pPr>
      <w:r w:rsidRPr="00C225BE">
        <w:rPr>
          <w:rFonts w:asciiTheme="minorHAnsi" w:hAnsiTheme="minorHAnsi"/>
          <w:sz w:val="24"/>
          <w:szCs w:val="24"/>
        </w:rPr>
        <w:t>Facilitated consensus-building among CSOs to align advocacy positions and propose practical mechanisms for structured participation in national and county health governance</w:t>
      </w:r>
    </w:p>
    <w:p w14:paraId="07A2760A" w14:textId="77777777" w:rsidR="00D04F94" w:rsidRPr="00C225BE" w:rsidRDefault="00000000" w:rsidP="00D2189C">
      <w:pPr>
        <w:pStyle w:val="Heading3"/>
        <w:rPr>
          <w:rFonts w:asciiTheme="minorHAnsi" w:hAnsiTheme="minorHAnsi"/>
          <w:sz w:val="24"/>
          <w:szCs w:val="24"/>
        </w:rPr>
      </w:pPr>
      <w:bookmarkStart w:id="43" w:name="_Toc215947158"/>
      <w:r w:rsidRPr="00C225BE">
        <w:rPr>
          <w:rFonts w:asciiTheme="minorHAnsi" w:hAnsiTheme="minorHAnsi"/>
          <w:sz w:val="24"/>
          <w:szCs w:val="24"/>
        </w:rPr>
        <w:t>Phase 4</w:t>
      </w:r>
      <w:bookmarkEnd w:id="43"/>
    </w:p>
    <w:p w14:paraId="7E9718E6" w14:textId="77777777" w:rsidR="00D04F94" w:rsidRPr="00C225BE" w:rsidRDefault="00000000">
      <w:pPr>
        <w:pBdr>
          <w:top w:val="nil"/>
          <w:left w:val="nil"/>
          <w:bottom w:val="nil"/>
          <w:right w:val="nil"/>
          <w:between w:val="nil"/>
        </w:pBdr>
        <w:spacing w:after="0"/>
        <w:rPr>
          <w:rFonts w:asciiTheme="minorHAnsi" w:hAnsiTheme="minorHAnsi"/>
          <w:color w:val="000000"/>
          <w:sz w:val="24"/>
          <w:szCs w:val="24"/>
        </w:rPr>
      </w:pPr>
      <w:r w:rsidRPr="00C225BE">
        <w:rPr>
          <w:rFonts w:asciiTheme="minorHAnsi" w:hAnsiTheme="minorHAnsi"/>
          <w:color w:val="000000"/>
          <w:sz w:val="24"/>
          <w:szCs w:val="24"/>
        </w:rPr>
        <w:t>To consolidate learning and enhance accountability, the project convened the National Social Participation for Health Conference (July 2025) under the theme “Navigating Citizen Accountability in a Shrinking Fiscal Space.”</w:t>
      </w:r>
    </w:p>
    <w:p w14:paraId="05A32366" w14:textId="77777777" w:rsidR="00D04F94" w:rsidRPr="00C225BE" w:rsidRDefault="00000000">
      <w:pPr>
        <w:pBdr>
          <w:top w:val="nil"/>
          <w:left w:val="nil"/>
          <w:bottom w:val="nil"/>
          <w:right w:val="nil"/>
          <w:between w:val="nil"/>
        </w:pBdr>
        <w:spacing w:after="0"/>
        <w:rPr>
          <w:rFonts w:asciiTheme="minorHAnsi" w:eastAsia="Times New Roman" w:hAnsiTheme="minorHAnsi" w:cs="Times New Roman"/>
          <w:sz w:val="24"/>
          <w:szCs w:val="24"/>
        </w:rPr>
      </w:pPr>
      <w:r w:rsidRPr="00C225BE">
        <w:rPr>
          <w:rFonts w:asciiTheme="minorHAnsi" w:hAnsiTheme="minorHAnsi"/>
          <w:color w:val="000000"/>
          <w:sz w:val="24"/>
          <w:szCs w:val="24"/>
        </w:rPr>
        <w:t>The conference convened officials from counties, national policymakers, CSOs, academia, and community representatives to assess collective progress and identify areas requiring further investment</w:t>
      </w:r>
      <w:r w:rsidRPr="00C225BE">
        <w:rPr>
          <w:rFonts w:asciiTheme="minorHAnsi" w:eastAsia="Times New Roman" w:hAnsiTheme="minorHAnsi" w:cs="Times New Roman"/>
          <w:sz w:val="24"/>
          <w:szCs w:val="24"/>
        </w:rPr>
        <w:t>.</w:t>
      </w:r>
    </w:p>
    <w:p w14:paraId="5E91ACA3" w14:textId="77777777" w:rsidR="00D04F94" w:rsidRPr="00C225BE" w:rsidRDefault="00000000" w:rsidP="00D2189C">
      <w:pPr>
        <w:pBdr>
          <w:top w:val="nil"/>
          <w:left w:val="nil"/>
          <w:bottom w:val="nil"/>
          <w:right w:val="nil"/>
          <w:between w:val="nil"/>
        </w:pBdr>
        <w:spacing w:after="0"/>
        <w:rPr>
          <w:rFonts w:asciiTheme="minorHAnsi" w:hAnsiTheme="minorHAnsi"/>
          <w:color w:val="000000"/>
          <w:sz w:val="24"/>
          <w:szCs w:val="24"/>
        </w:rPr>
      </w:pPr>
      <w:r w:rsidRPr="00C225BE">
        <w:rPr>
          <w:rFonts w:asciiTheme="minorHAnsi" w:hAnsiTheme="minorHAnsi"/>
          <w:color w:val="000000"/>
          <w:sz w:val="24"/>
          <w:szCs w:val="24"/>
        </w:rPr>
        <w:t>Key insights included:</w:t>
      </w:r>
    </w:p>
    <w:p w14:paraId="1598C5FB" w14:textId="77777777" w:rsidR="00D04F94" w:rsidRPr="00C225BE" w:rsidRDefault="00000000">
      <w:pPr>
        <w:numPr>
          <w:ilvl w:val="0"/>
          <w:numId w:val="6"/>
        </w:numPr>
        <w:pBdr>
          <w:top w:val="nil"/>
          <w:left w:val="nil"/>
          <w:bottom w:val="nil"/>
          <w:right w:val="nil"/>
          <w:between w:val="nil"/>
        </w:pBdr>
        <w:spacing w:after="0"/>
        <w:rPr>
          <w:rFonts w:asciiTheme="minorHAnsi" w:eastAsia="Arial" w:hAnsiTheme="minorHAnsi" w:cs="Arial"/>
          <w:sz w:val="24"/>
          <w:szCs w:val="24"/>
        </w:rPr>
      </w:pPr>
      <w:r w:rsidRPr="00C225BE">
        <w:rPr>
          <w:rFonts w:asciiTheme="minorHAnsi" w:eastAsia="Times New Roman" w:hAnsiTheme="minorHAnsi" w:cs="Times New Roman"/>
          <w:color w:val="000000"/>
          <w:sz w:val="24"/>
          <w:szCs w:val="24"/>
        </w:rPr>
        <w:t>A demonstrable increase in community engagement across counties, attributed to training, research dissemination, and improved awareness of participation rights.</w:t>
      </w:r>
    </w:p>
    <w:p w14:paraId="20EFDCB7" w14:textId="77777777" w:rsidR="00D04F94" w:rsidRPr="00C225BE" w:rsidRDefault="00000000">
      <w:pPr>
        <w:numPr>
          <w:ilvl w:val="0"/>
          <w:numId w:val="6"/>
        </w:numPr>
        <w:pBdr>
          <w:top w:val="nil"/>
          <w:left w:val="nil"/>
          <w:bottom w:val="nil"/>
          <w:right w:val="nil"/>
          <w:between w:val="nil"/>
        </w:pBdr>
        <w:spacing w:after="0"/>
        <w:rPr>
          <w:rFonts w:asciiTheme="minorHAnsi" w:eastAsia="Arial" w:hAnsiTheme="minorHAnsi" w:cs="Arial"/>
          <w:sz w:val="24"/>
          <w:szCs w:val="24"/>
        </w:rPr>
      </w:pPr>
      <w:r w:rsidRPr="00C225BE">
        <w:rPr>
          <w:rFonts w:asciiTheme="minorHAnsi" w:eastAsia="Times New Roman" w:hAnsiTheme="minorHAnsi" w:cs="Times New Roman"/>
          <w:color w:val="000000"/>
          <w:sz w:val="24"/>
          <w:szCs w:val="24"/>
        </w:rPr>
        <w:t>Persistent gaps in translating community inputs into policy change, highlighting a need for stronger legal frameworks and structured feedback mechanisms.</w:t>
      </w:r>
    </w:p>
    <w:p w14:paraId="2CF32A9A" w14:textId="77777777" w:rsidR="00D04F94" w:rsidRPr="00C225BE" w:rsidRDefault="00000000">
      <w:pPr>
        <w:numPr>
          <w:ilvl w:val="0"/>
          <w:numId w:val="6"/>
        </w:numPr>
        <w:pBdr>
          <w:top w:val="nil"/>
          <w:left w:val="nil"/>
          <w:bottom w:val="nil"/>
          <w:right w:val="nil"/>
          <w:between w:val="nil"/>
        </w:pBdr>
        <w:spacing w:after="0"/>
        <w:rPr>
          <w:rFonts w:asciiTheme="minorHAnsi" w:eastAsia="Arial" w:hAnsiTheme="minorHAnsi" w:cs="Arial"/>
          <w:sz w:val="24"/>
          <w:szCs w:val="24"/>
        </w:rPr>
      </w:pPr>
      <w:r w:rsidRPr="00C225BE">
        <w:rPr>
          <w:rFonts w:asciiTheme="minorHAnsi" w:eastAsia="Times New Roman" w:hAnsiTheme="minorHAnsi" w:cs="Times New Roman"/>
          <w:color w:val="000000"/>
          <w:sz w:val="24"/>
          <w:szCs w:val="24"/>
        </w:rPr>
        <w:t>Enhanced county-CSO collaboration and growing acceptance of social participation as a governance norm</w:t>
      </w:r>
      <w:r w:rsidRPr="00C225BE">
        <w:rPr>
          <w:rFonts w:asciiTheme="minorHAnsi" w:eastAsia="Times New Roman" w:hAnsiTheme="minorHAnsi" w:cs="Times New Roman"/>
          <w:sz w:val="24"/>
          <w:szCs w:val="24"/>
        </w:rPr>
        <w:t>.</w:t>
      </w:r>
    </w:p>
    <w:p w14:paraId="07B632C9" w14:textId="77777777" w:rsidR="00D04F94" w:rsidRPr="00C225BE" w:rsidRDefault="00000000">
      <w:pPr>
        <w:pBdr>
          <w:top w:val="nil"/>
          <w:left w:val="nil"/>
          <w:bottom w:val="nil"/>
          <w:right w:val="nil"/>
          <w:between w:val="nil"/>
        </w:pBdr>
        <w:spacing w:after="0"/>
        <w:rPr>
          <w:rFonts w:asciiTheme="minorHAnsi" w:hAnsiTheme="minorHAnsi"/>
          <w:color w:val="000000"/>
          <w:sz w:val="24"/>
          <w:szCs w:val="24"/>
        </w:rPr>
      </w:pPr>
      <w:r w:rsidRPr="00C225BE">
        <w:rPr>
          <w:rFonts w:asciiTheme="minorHAnsi" w:hAnsiTheme="minorHAnsi"/>
          <w:color w:val="000000"/>
          <w:sz w:val="24"/>
          <w:szCs w:val="24"/>
        </w:rPr>
        <w:t>These learnings now inform recommendations for Phase II programming and sustainability planning.</w:t>
      </w:r>
    </w:p>
    <w:p w14:paraId="73C6FE84" w14:textId="77777777" w:rsidR="00D04F94" w:rsidRPr="00C225BE" w:rsidRDefault="00000000" w:rsidP="00D2189C">
      <w:pPr>
        <w:pStyle w:val="Heading2"/>
        <w:rPr>
          <w:rFonts w:asciiTheme="minorHAnsi" w:hAnsiTheme="minorHAnsi"/>
          <w:sz w:val="24"/>
          <w:szCs w:val="24"/>
        </w:rPr>
      </w:pPr>
      <w:bookmarkStart w:id="44" w:name="_rwwo39e7a4r" w:colFirst="0" w:colLast="0"/>
      <w:bookmarkStart w:id="45" w:name="_Toc215947159"/>
      <w:bookmarkEnd w:id="44"/>
      <w:r w:rsidRPr="00C225BE">
        <w:rPr>
          <w:rFonts w:asciiTheme="minorHAnsi" w:hAnsiTheme="minorHAnsi"/>
          <w:sz w:val="24"/>
          <w:szCs w:val="24"/>
        </w:rPr>
        <w:t>7.2 Research Contributions</w:t>
      </w:r>
      <w:bookmarkEnd w:id="45"/>
    </w:p>
    <w:p w14:paraId="341F0251" w14:textId="77777777" w:rsidR="00D04F94" w:rsidRPr="00C225BE" w:rsidRDefault="00000000" w:rsidP="00E97D7A">
      <w:pPr>
        <w:jc w:val="both"/>
        <w:rPr>
          <w:rFonts w:asciiTheme="minorHAnsi" w:eastAsia="Times New Roman" w:hAnsiTheme="minorHAnsi" w:cs="Times New Roman"/>
          <w:sz w:val="24"/>
          <w:szCs w:val="24"/>
        </w:rPr>
      </w:pPr>
      <w:r w:rsidRPr="00C225BE">
        <w:rPr>
          <w:rFonts w:asciiTheme="minorHAnsi" w:hAnsiTheme="minorHAnsi"/>
          <w:sz w:val="24"/>
          <w:szCs w:val="24"/>
        </w:rPr>
        <w:t xml:space="preserve">Research was a foundational pillar of the SPHERE project and served as the empirical engine driving all advocacy, capacity strengthening, and policy engagement efforts. The project produced the first comprehensive technical study in Kenya examining the </w:t>
      </w:r>
      <w:r w:rsidRPr="00C225BE">
        <w:rPr>
          <w:rFonts w:asciiTheme="minorHAnsi" w:hAnsiTheme="minorHAnsi"/>
          <w:sz w:val="24"/>
          <w:szCs w:val="24"/>
        </w:rPr>
        <w:lastRenderedPageBreak/>
        <w:t xml:space="preserve">integration of Social Participation for Health (SPH) within Universal Health Coverage (UHC) and health financing reforms. Conducted by the African Institute for Health &amp; Development (AIHD), the study adhered to national research standards, receiving approvals from NACOSTI and AMREF, and employed a rigorous qualitative methodology involving 33 Key Informant Interviews and two Focus Group Discussions in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and Kisumu Countie</w:t>
      </w:r>
      <w:r w:rsidRPr="00C225BE">
        <w:rPr>
          <w:rFonts w:asciiTheme="minorHAnsi" w:eastAsia="Times New Roman" w:hAnsiTheme="minorHAnsi" w:cs="Times New Roman"/>
          <w:sz w:val="24"/>
          <w:szCs w:val="24"/>
        </w:rPr>
        <w:t>s.</w:t>
      </w:r>
    </w:p>
    <w:p w14:paraId="24A8BAB7" w14:textId="77777777" w:rsidR="00D04F94" w:rsidRPr="00C225BE" w:rsidRDefault="00000000" w:rsidP="00E97D7A">
      <w:pPr>
        <w:rPr>
          <w:rFonts w:asciiTheme="minorHAnsi" w:hAnsiTheme="minorHAnsi"/>
          <w:sz w:val="24"/>
          <w:szCs w:val="24"/>
        </w:rPr>
      </w:pPr>
      <w:r w:rsidRPr="00C225BE">
        <w:rPr>
          <w:rFonts w:asciiTheme="minorHAnsi" w:hAnsiTheme="minorHAnsi"/>
          <w:sz w:val="24"/>
          <w:szCs w:val="24"/>
        </w:rPr>
        <w:t>The research generated three major outputs:</w:t>
      </w:r>
    </w:p>
    <w:p w14:paraId="780FB76C" w14:textId="77777777" w:rsidR="00D04F94" w:rsidRPr="00C225BE" w:rsidRDefault="00000000" w:rsidP="007307B8">
      <w:pPr>
        <w:pStyle w:val="Heading4"/>
        <w:rPr>
          <w:rFonts w:asciiTheme="minorHAnsi" w:hAnsiTheme="minorHAnsi"/>
          <w:sz w:val="24"/>
          <w:szCs w:val="24"/>
        </w:rPr>
      </w:pPr>
      <w:r w:rsidRPr="00C225BE">
        <w:rPr>
          <w:rFonts w:asciiTheme="minorHAnsi" w:hAnsiTheme="minorHAnsi"/>
          <w:sz w:val="24"/>
          <w:szCs w:val="24"/>
        </w:rPr>
        <w:t>Research Output 1: Scoping and Background Analysis</w:t>
      </w:r>
    </w:p>
    <w:p w14:paraId="0DFCAC3D" w14:textId="77777777" w:rsidR="00D04F94" w:rsidRPr="00C225BE" w:rsidRDefault="00000000" w:rsidP="007307B8">
      <w:pPr>
        <w:jc w:val="both"/>
        <w:rPr>
          <w:rFonts w:asciiTheme="minorHAnsi" w:hAnsiTheme="minorHAnsi"/>
          <w:b/>
          <w:bCs/>
          <w:sz w:val="24"/>
          <w:szCs w:val="24"/>
        </w:rPr>
      </w:pPr>
      <w:r w:rsidRPr="00C225BE">
        <w:rPr>
          <w:rFonts w:asciiTheme="minorHAnsi" w:hAnsiTheme="minorHAnsi"/>
          <w:sz w:val="24"/>
          <w:szCs w:val="24"/>
        </w:rPr>
        <w:t>This initial output documented the evolution of UHC reforms in Kenya, including lessons from the NHIF, UHC pilot, and transition toward the Social Health Authority (SHA). It revealed systemic weaknesses such as stockouts, limited financial protection, fragmented referral systems, and inadequate community participation that undermine equity and service quality. The study also surfaced enablers: increased political commitment, digitalization, and ongoing PHC strengthening efforts.</w:t>
      </w:r>
    </w:p>
    <w:p w14:paraId="31685955" w14:textId="77777777" w:rsidR="00D04F94" w:rsidRPr="00C225BE" w:rsidRDefault="00000000" w:rsidP="00D2189C">
      <w:pPr>
        <w:pStyle w:val="Heading4"/>
        <w:rPr>
          <w:rFonts w:asciiTheme="minorHAnsi" w:hAnsiTheme="minorHAnsi"/>
          <w:sz w:val="24"/>
          <w:szCs w:val="24"/>
        </w:rPr>
      </w:pPr>
      <w:r w:rsidRPr="00C225BE">
        <w:rPr>
          <w:rFonts w:asciiTheme="minorHAnsi" w:hAnsiTheme="minorHAnsi"/>
          <w:sz w:val="24"/>
          <w:szCs w:val="24"/>
        </w:rPr>
        <w:t>Research Output 2: Assessment of CSO Engagement</w:t>
      </w:r>
    </w:p>
    <w:p w14:paraId="0B37DC10" w14:textId="77777777" w:rsidR="00D04F94" w:rsidRPr="00C225BE" w:rsidRDefault="00000000" w:rsidP="007307B8">
      <w:pPr>
        <w:jc w:val="both"/>
        <w:rPr>
          <w:rFonts w:asciiTheme="minorHAnsi" w:eastAsia="Times New Roman" w:hAnsiTheme="minorHAnsi" w:cs="Times New Roman"/>
          <w:sz w:val="24"/>
          <w:szCs w:val="24"/>
        </w:rPr>
      </w:pPr>
      <w:r w:rsidRPr="00C225BE">
        <w:rPr>
          <w:rFonts w:asciiTheme="minorHAnsi" w:hAnsiTheme="minorHAnsi"/>
          <w:sz w:val="24"/>
          <w:szCs w:val="24"/>
        </w:rPr>
        <w:t>This analysis explored the roles, strengths, and constraints of CSOs in UHC implementation. It highlighted their contributions to awareness creation, community mobilization, and accountability processes, while underscoring persistent gaps in coordination, unclear engagement frameworks, limited funding, and the absence of structured participation mechanisms. The findings provided the foundation for designing the project’s advocacy strategy and capacity-building model.</w:t>
      </w:r>
    </w:p>
    <w:p w14:paraId="7901FE8B" w14:textId="77777777" w:rsidR="00D04F94" w:rsidRPr="00C225BE" w:rsidRDefault="00000000" w:rsidP="00D2189C">
      <w:pPr>
        <w:pStyle w:val="Heading4"/>
        <w:rPr>
          <w:rFonts w:asciiTheme="minorHAnsi" w:hAnsiTheme="minorHAnsi"/>
          <w:sz w:val="24"/>
          <w:szCs w:val="24"/>
        </w:rPr>
      </w:pPr>
      <w:r w:rsidRPr="00C225BE">
        <w:rPr>
          <w:rFonts w:asciiTheme="minorHAnsi" w:hAnsiTheme="minorHAnsi"/>
          <w:sz w:val="24"/>
          <w:szCs w:val="24"/>
        </w:rPr>
        <w:t>Research Output 3: Implications for Advocacy and SHA Rollout</w:t>
      </w:r>
    </w:p>
    <w:p w14:paraId="5C8F0531" w14:textId="77777777" w:rsidR="00D04F94" w:rsidRPr="00C225BE" w:rsidRDefault="00000000" w:rsidP="007307B8">
      <w:pPr>
        <w:spacing w:after="0"/>
        <w:jc w:val="both"/>
        <w:rPr>
          <w:rFonts w:asciiTheme="minorHAnsi" w:hAnsiTheme="minorHAnsi"/>
          <w:b/>
          <w:bCs/>
          <w:sz w:val="24"/>
          <w:szCs w:val="24"/>
        </w:rPr>
      </w:pPr>
      <w:bookmarkStart w:id="46" w:name="_t6auja9f8ge6" w:colFirst="0" w:colLast="0"/>
      <w:bookmarkEnd w:id="46"/>
      <w:r w:rsidRPr="00C225BE">
        <w:rPr>
          <w:rFonts w:asciiTheme="minorHAnsi" w:hAnsiTheme="minorHAnsi"/>
          <w:sz w:val="24"/>
          <w:szCs w:val="24"/>
        </w:rPr>
        <w:t>The final research product synthesized emerging insights to guide CSO engagement in the shifting policy landscape shaped by the Social Health Insurance Act (2023). It assessed opportunities for participation in SHA governance, financing, benefits design, and county implementation processes. This output informed national messaging and shaped policy submissions at both county and national levels.</w:t>
      </w:r>
    </w:p>
    <w:p w14:paraId="75C71BD0" w14:textId="77777777" w:rsidR="00D04F94" w:rsidRPr="00C225BE" w:rsidRDefault="00000000" w:rsidP="007307B8">
      <w:pPr>
        <w:spacing w:after="0"/>
        <w:jc w:val="both"/>
        <w:rPr>
          <w:rFonts w:asciiTheme="minorHAnsi" w:eastAsia="Times New Roman" w:hAnsiTheme="minorHAnsi" w:cs="Times New Roman"/>
          <w:sz w:val="24"/>
          <w:szCs w:val="24"/>
        </w:rPr>
      </w:pPr>
      <w:bookmarkStart w:id="47" w:name="_vueyy63e3s85" w:colFirst="0" w:colLast="0"/>
      <w:bookmarkEnd w:id="47"/>
      <w:r w:rsidRPr="00C225BE">
        <w:rPr>
          <w:rFonts w:asciiTheme="minorHAnsi" w:hAnsiTheme="minorHAnsi"/>
          <w:sz w:val="24"/>
          <w:szCs w:val="24"/>
        </w:rPr>
        <w:t>All three research products were developed in journal-ready format and contributed to regional and global learning under the SPHERE consortium. The Kenya team shared preliminary findings during global learning exchanges, WHO-led sessions on social participation, and preparatory meetings for WHA and HSR conferences. This positioned Kenya as a thought leader in operationalizing SPH within decentralized health systems.</w:t>
      </w:r>
    </w:p>
    <w:p w14:paraId="7282F3CB" w14:textId="77777777" w:rsidR="00D04F94" w:rsidRPr="00C225BE" w:rsidRDefault="00000000" w:rsidP="00D2189C">
      <w:pPr>
        <w:pStyle w:val="Heading4"/>
        <w:rPr>
          <w:rFonts w:asciiTheme="minorHAnsi" w:hAnsiTheme="minorHAnsi"/>
          <w:sz w:val="24"/>
          <w:szCs w:val="24"/>
        </w:rPr>
      </w:pPr>
      <w:r w:rsidRPr="00C225BE">
        <w:rPr>
          <w:rFonts w:asciiTheme="minorHAnsi" w:hAnsiTheme="minorHAnsi"/>
          <w:sz w:val="24"/>
          <w:szCs w:val="24"/>
        </w:rPr>
        <w:t>Influence on Advocacy and Capacity Strengthening</w:t>
      </w:r>
    </w:p>
    <w:p w14:paraId="24CFAF0E" w14:textId="77777777" w:rsidR="00D2189C" w:rsidRPr="00C225BE" w:rsidRDefault="00000000" w:rsidP="007307B8">
      <w:pPr>
        <w:spacing w:after="0"/>
        <w:jc w:val="both"/>
        <w:rPr>
          <w:rFonts w:asciiTheme="minorHAnsi" w:hAnsiTheme="minorHAnsi"/>
          <w:b/>
          <w:bCs/>
          <w:sz w:val="24"/>
          <w:szCs w:val="24"/>
        </w:rPr>
      </w:pPr>
      <w:bookmarkStart w:id="48" w:name="_jmf4ihbnmprs" w:colFirst="0" w:colLast="0"/>
      <w:bookmarkEnd w:id="48"/>
      <w:r w:rsidRPr="00C225BE">
        <w:rPr>
          <w:rFonts w:asciiTheme="minorHAnsi" w:hAnsiTheme="minorHAnsi"/>
          <w:sz w:val="24"/>
          <w:szCs w:val="24"/>
        </w:rPr>
        <w:t xml:space="preserve">The research directly informed SMART advocacy training modules, budget analysis tools, and county-specific advocacy plans developed by 220 community champions. </w:t>
      </w:r>
      <w:r w:rsidRPr="00C225BE">
        <w:rPr>
          <w:rFonts w:asciiTheme="minorHAnsi" w:hAnsiTheme="minorHAnsi"/>
          <w:sz w:val="24"/>
          <w:szCs w:val="24"/>
        </w:rPr>
        <w:lastRenderedPageBreak/>
        <w:t>It enabled evidence-backed engagement with Governors, Assemblies, county treasuries, and national institutions including the Ministry of Health and SHA. The clarity and credibility of the evidence substantially improved the quality of CSO contributions during public participation processes.</w:t>
      </w:r>
      <w:bookmarkStart w:id="49" w:name="_jumha0c3qaot" w:colFirst="0" w:colLast="0"/>
      <w:bookmarkEnd w:id="49"/>
    </w:p>
    <w:p w14:paraId="4E7B6CC0" w14:textId="77777777" w:rsidR="00D04F94" w:rsidRPr="00C225BE" w:rsidRDefault="00000000" w:rsidP="00D2189C">
      <w:pPr>
        <w:pStyle w:val="Heading2"/>
        <w:rPr>
          <w:rFonts w:asciiTheme="minorHAnsi" w:eastAsia="Times New Roman" w:hAnsiTheme="minorHAnsi" w:cs="Times New Roman"/>
          <w:sz w:val="24"/>
          <w:szCs w:val="24"/>
        </w:rPr>
      </w:pPr>
      <w:r w:rsidRPr="00C225BE">
        <w:rPr>
          <w:rFonts w:asciiTheme="minorHAnsi" w:hAnsiTheme="minorHAnsi"/>
          <w:sz w:val="24"/>
          <w:szCs w:val="24"/>
        </w:rPr>
        <w:br/>
      </w:r>
      <w:bookmarkStart w:id="50" w:name="_Toc215947160"/>
      <w:r w:rsidRPr="00C225BE">
        <w:rPr>
          <w:rFonts w:asciiTheme="minorHAnsi" w:hAnsiTheme="minorHAnsi"/>
          <w:sz w:val="24"/>
          <w:szCs w:val="24"/>
        </w:rPr>
        <w:t>7.3 Advocacy and Global Engagement</w:t>
      </w:r>
      <w:bookmarkEnd w:id="50"/>
    </w:p>
    <w:p w14:paraId="7007D238"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Advocacy efforts under the SPHERE project significantly elevated the role of civil society in Kenya’s UHC reforms, particularly during the transition to the Social Health Authority (SHA). Guided by the evidence generated through the research phase, HENNET coordinated structured engagements that strengthened national dialogue on health financing, benefit design, and primary healthcare governance. These engagements enabled CSOs to participate meaningfully in policy processes that had traditionally been inaccessible or highly technical. Through the submission of evidence-based memoranda to Parliament, Treasury, and the Ministry of Health, CSOs contributed to national debates on UHC financing, highlighting the need for transparent tariffs, equitable benefit packages, and stronger accountability mechanisms within SHA implementation.</w:t>
      </w:r>
    </w:p>
    <w:p w14:paraId="7718B1B1"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At the global level, the SPHERE project placed Kenya at the forefront of international discussions on social participation. Kenya’s delegation contributed to the WHA 2024 processes, sharing country-specific evidence and experiences that highlighted the importance of structured citizen engagement in decentralized health systems. Similarly, Kenya’s participation in the Health Systems Research (HSR) Conference in Nagasaki showcased lessons from the integration of SPH into UHC reforms, drawing international attention to both the successes and challenges of participatory governance in a devolved context. Through abstracts, presentations, and learning products, the Kenya team offered insights that enriched comparative learning across the global SPHERE consortium.</w:t>
      </w:r>
    </w:p>
    <w:p w14:paraId="0965BD2E"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Consortium-level collaboration strengthened harmonized advocacy across participating countries. HENNET contributed to joint advocacy frameworks, cross-country case studies, and consolidated messaging targeting global stakeholders. This alignment not only amplified the visibility of Kenya’s work but also supported collective action toward institutionalizing social participation globally.</w:t>
      </w:r>
    </w:p>
    <w:p w14:paraId="1F173427"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The project’s advocacy achievements were also visible within Kenya’s national policy architecture. HENNET’s technical engagement in the development of the National Public Participation Bill ensured that the perspectives of CSOs and communities were integrated into a legal framework that will govern participation across all public sectors, including health. The appointment of HENNET representatives Dr. Mary Nyamongo and Dr. Gabriel to the SHA Benefits and Tariffs Advisory Board signaled an important shift toward institutionalizing civil society voice in key decision-making </w:t>
      </w:r>
      <w:r w:rsidRPr="00C225BE">
        <w:rPr>
          <w:rFonts w:asciiTheme="minorHAnsi" w:eastAsia="Times New Roman" w:hAnsiTheme="minorHAnsi" w:cs="Times New Roman"/>
          <w:sz w:val="24"/>
          <w:szCs w:val="24"/>
        </w:rPr>
        <w:lastRenderedPageBreak/>
        <w:t>arenas. Further, HENNET’s membership in the National Technical Working Group for Health Financing created an enduring pathway for civil society to influence resource allocation, risk pooling mechanisms, and financial protection strategies within UHC reforms.</w:t>
      </w:r>
    </w:p>
    <w:p w14:paraId="5838769C" w14:textId="77777777" w:rsidR="00D04F94" w:rsidRPr="00C225BE" w:rsidRDefault="00000000">
      <w:pPr>
        <w:spacing w:after="0"/>
        <w:jc w:val="both"/>
        <w:rPr>
          <w:rFonts w:asciiTheme="minorHAnsi" w:hAnsiTheme="minorHAnsi"/>
          <w:sz w:val="24"/>
          <w:szCs w:val="24"/>
        </w:rPr>
      </w:pPr>
      <w:r w:rsidRPr="00C225BE">
        <w:rPr>
          <w:rFonts w:asciiTheme="minorHAnsi" w:eastAsia="Times New Roman" w:hAnsiTheme="minorHAnsi" w:cs="Times New Roman"/>
          <w:sz w:val="24"/>
          <w:szCs w:val="24"/>
        </w:rPr>
        <w:t>By the end of the project, over 500 representatives from CSOs had been reached through national SHA sensitization forums, strengthening sector-wide readiness to engage with the new health financing architecture. Through these combined national and global engagements, the SPHERE project succeeded in elevating community and civil society voices into local, national, and international UHC policy processes, leaving behind stronger systems, more capable actors, and institutional footholds for sustained participation.</w:t>
      </w:r>
    </w:p>
    <w:p w14:paraId="092B3297" w14:textId="77777777" w:rsidR="00D04F94" w:rsidRPr="00C225BE" w:rsidRDefault="00000000" w:rsidP="00D2189C">
      <w:pPr>
        <w:pStyle w:val="Heading2"/>
        <w:rPr>
          <w:rFonts w:asciiTheme="minorHAnsi" w:hAnsiTheme="minorHAnsi"/>
          <w:sz w:val="24"/>
          <w:szCs w:val="24"/>
        </w:rPr>
      </w:pPr>
      <w:r w:rsidRPr="00C225BE">
        <w:rPr>
          <w:rFonts w:asciiTheme="minorHAnsi" w:hAnsiTheme="minorHAnsi"/>
          <w:sz w:val="24"/>
          <w:szCs w:val="24"/>
        </w:rPr>
        <w:br/>
      </w:r>
      <w:bookmarkStart w:id="51" w:name="_Toc215947161"/>
      <w:r w:rsidRPr="00C225BE">
        <w:rPr>
          <w:rFonts w:asciiTheme="minorHAnsi" w:hAnsiTheme="minorHAnsi"/>
          <w:sz w:val="24"/>
          <w:szCs w:val="24"/>
        </w:rPr>
        <w:t>7.4 Capacity Strengthening</w:t>
      </w:r>
      <w:bookmarkEnd w:id="51"/>
    </w:p>
    <w:p w14:paraId="59407E41" w14:textId="77777777" w:rsidR="00D04F94" w:rsidRPr="00C225BE" w:rsidRDefault="00000000">
      <w:pPr>
        <w:rPr>
          <w:rFonts w:asciiTheme="minorHAnsi" w:eastAsia="Times New Roman" w:hAnsiTheme="minorHAnsi" w:cs="Times New Roman"/>
          <w:sz w:val="24"/>
          <w:szCs w:val="24"/>
        </w:rPr>
      </w:pPr>
      <w:r w:rsidRPr="00C225BE">
        <w:rPr>
          <w:rFonts w:asciiTheme="minorHAnsi" w:hAnsiTheme="minorHAnsi"/>
          <w:sz w:val="24"/>
          <w:szCs w:val="24"/>
        </w:rPr>
        <w:t xml:space="preserve"> </w:t>
      </w:r>
      <w:r w:rsidRPr="00C225BE">
        <w:rPr>
          <w:rFonts w:asciiTheme="minorHAnsi" w:eastAsia="Times New Roman" w:hAnsiTheme="minorHAnsi" w:cs="Times New Roman"/>
          <w:sz w:val="24"/>
          <w:szCs w:val="24"/>
        </w:rPr>
        <w:t>Capacity strengthening emerged as one of the most transformative components of the SPHERE project, enabling the translation of research evidence into effective county and national-level advocacy. From the outset, the project recognized that meaningful social participation could not occur without a well-equipped civil society capable of engaging with complex health financing and governance processes. Guided by the strong evidence base generated through the research phase, the project therefore implemented a structured advocacy and capacity-building model designed to develop the technical skills required for CSOs and community champions to influence health budgeting, planning, and policy formulation in a systematic and sustained way.</w:t>
      </w:r>
    </w:p>
    <w:p w14:paraId="1A3874AF"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 key element of this model was the competitive identification and training of seventeen Trainers of Trainers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drawn from diverse civil society networks across participating counties. These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underwent a rigorous three-phase training cycle focused on Public Finance Management, budget analysis, and SMART advocacy. The training equipped them with a deep understanding of Kenya’s health financing architecture, the evolution of UHC reforms, and the opportunities and constraints embedded within county budget cycles. Importantly, the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were prepared not only as technical experts but as multipliers able to cascade skills to wider networks.</w:t>
      </w:r>
    </w:p>
    <w:p w14:paraId="02E114BA"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The cascading effect of this approach became evident as the </w:t>
      </w:r>
      <w:proofErr w:type="spellStart"/>
      <w:r w:rsidRPr="00C225BE">
        <w:rPr>
          <w:rFonts w:asciiTheme="minorHAnsi" w:eastAsia="Times New Roman" w:hAnsiTheme="minorHAnsi" w:cs="Times New Roman"/>
          <w:sz w:val="24"/>
          <w:szCs w:val="24"/>
        </w:rPr>
        <w:t>ToTs</w:t>
      </w:r>
      <w:proofErr w:type="spellEnd"/>
      <w:r w:rsidRPr="00C225BE">
        <w:rPr>
          <w:rFonts w:asciiTheme="minorHAnsi" w:eastAsia="Times New Roman" w:hAnsiTheme="minorHAnsi" w:cs="Times New Roman"/>
          <w:sz w:val="24"/>
          <w:szCs w:val="24"/>
        </w:rPr>
        <w:t xml:space="preserve"> trained 220 Community Champions representing youth groups, women’s organizations, community-based networks, and local CSOs. These champions gained practical competencies in interrogating county budgets, interpreting planning documents, assessing health sector allocations, and formulating targeted advocacy asks based on research evidence. As they deepened their understanding of fiscal processes and </w:t>
      </w:r>
      <w:r w:rsidRPr="00C225BE">
        <w:rPr>
          <w:rFonts w:asciiTheme="minorHAnsi" w:eastAsia="Times New Roman" w:hAnsiTheme="minorHAnsi" w:cs="Times New Roman"/>
          <w:sz w:val="24"/>
          <w:szCs w:val="24"/>
        </w:rPr>
        <w:lastRenderedPageBreak/>
        <w:t>governance mechanisms, they were able to link community-expressed health challenges to specific budget lines and accountability gaps within their counties.</w:t>
      </w:r>
    </w:p>
    <w:p w14:paraId="0FE4CB10"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training process culminated in the development of eight county-specific SMART advocacy plans. Each plan reflected a precise and evidence-driven set of priorities tailored to local political contexts and health system needs. Drawing on research findings and community consultations, the plans provided champions with actionable roadmaps for engaging county executives, assemblies, and treasuries. These documents were instrumental in elevating the quality and coherence of CSO advocacy during public participation forums, County Budget and Economic Fora, and Sector Working Group consultations.</w:t>
      </w:r>
    </w:p>
    <w:p w14:paraId="574ECDB9"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As the technical capacity of CSOs and champions strengthened, county governments increasingly began to recognize the value of structured community engagement. This led to more frequent invitations for CSO representatives to participate in technical review meetings, contribute to public participation processes, and offer insights during budget hearings. In several counties, officials actively sought technical support from HENNET-trained champions to improve the design and documentation of participation processes, demonstrating a tangible shift in how social participation is perceived within county governance.</w:t>
      </w:r>
    </w:p>
    <w:p w14:paraId="053729CC"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Beyond county-level actors, the capacity-strengthening efforts also reinforced HENNET’s institutional capability to lead national-level coordination and policy advocacy. Through Member Meetings, national learning forums, and thematic dialogues, HENNET expanded the technical literacy of its membership on reforms such as the transition to SHA, primary healthcare governance, and national budgeting shifts. This strengthened institutional capacity contributed directly to HENNET’s growing recognition by national bodies, including appointments to the National Health Financing Technical Working Group and participation in multi-stakeholder platforms shaping UHC reforms.</w:t>
      </w:r>
    </w:p>
    <w:p w14:paraId="304B26B1"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By the conclusion of the project, the capacity-building investments had created a robust ecosystem of knowledgeable, confident, and well-organized CSOs and community advocates. These actors now possess the technical grounding, strategic insight, and institutional connections required to sustain social participation beyond the life of the project. The strengthened capacity base has not only enhanced the efficacy of local advocacy but has also laid the foundation for a more accountable, equitable, and participatory health governance system in Kenya.</w:t>
      </w:r>
    </w:p>
    <w:p w14:paraId="4E1814E3" w14:textId="77777777" w:rsidR="00D04F94" w:rsidRPr="00C225BE" w:rsidRDefault="00D04F94">
      <w:pPr>
        <w:rPr>
          <w:rFonts w:asciiTheme="minorHAnsi" w:hAnsiTheme="minorHAnsi"/>
          <w:sz w:val="24"/>
          <w:szCs w:val="24"/>
        </w:rPr>
      </w:pPr>
    </w:p>
    <w:p w14:paraId="0CE63856" w14:textId="77777777" w:rsidR="00D04F94" w:rsidRPr="00C225BE" w:rsidRDefault="00D04F94">
      <w:pPr>
        <w:rPr>
          <w:rFonts w:asciiTheme="minorHAnsi" w:hAnsiTheme="minorHAnsi"/>
          <w:sz w:val="24"/>
          <w:szCs w:val="24"/>
        </w:rPr>
      </w:pPr>
    </w:p>
    <w:p w14:paraId="770BF5FC" w14:textId="77777777" w:rsidR="00D04F94" w:rsidRPr="00C225BE" w:rsidRDefault="00D04F94">
      <w:pPr>
        <w:rPr>
          <w:rFonts w:asciiTheme="minorHAnsi" w:hAnsiTheme="minorHAnsi"/>
          <w:sz w:val="24"/>
          <w:szCs w:val="24"/>
        </w:rPr>
      </w:pPr>
    </w:p>
    <w:p w14:paraId="20E8ADF9" w14:textId="77777777" w:rsidR="00D04F94" w:rsidRPr="00C225BE" w:rsidRDefault="00D04F94">
      <w:pPr>
        <w:rPr>
          <w:rFonts w:asciiTheme="minorHAnsi" w:hAnsiTheme="minorHAnsi"/>
          <w:sz w:val="24"/>
          <w:szCs w:val="24"/>
        </w:rPr>
      </w:pPr>
    </w:p>
    <w:p w14:paraId="1966F2D1" w14:textId="77777777" w:rsidR="00D04F94" w:rsidRPr="00C225BE" w:rsidRDefault="00D04F94">
      <w:pPr>
        <w:rPr>
          <w:rFonts w:asciiTheme="minorHAnsi" w:hAnsiTheme="minorHAnsi"/>
          <w:sz w:val="24"/>
          <w:szCs w:val="24"/>
        </w:rPr>
      </w:pPr>
    </w:p>
    <w:p w14:paraId="1D7DE8BC" w14:textId="77777777" w:rsidR="00D04F94" w:rsidRPr="00C225BE" w:rsidRDefault="00D04F94">
      <w:pPr>
        <w:rPr>
          <w:rFonts w:asciiTheme="minorHAnsi" w:hAnsiTheme="minorHAnsi"/>
          <w:sz w:val="24"/>
          <w:szCs w:val="24"/>
        </w:rPr>
      </w:pPr>
    </w:p>
    <w:p w14:paraId="02563F9B" w14:textId="77777777" w:rsidR="00D2189C" w:rsidRPr="00C225BE" w:rsidRDefault="00D2189C">
      <w:pPr>
        <w:rPr>
          <w:rFonts w:asciiTheme="minorHAnsi" w:hAnsiTheme="minorHAnsi"/>
          <w:sz w:val="24"/>
          <w:szCs w:val="24"/>
        </w:rPr>
      </w:pPr>
    </w:p>
    <w:p w14:paraId="41D2BF7A" w14:textId="77777777" w:rsidR="007307B8" w:rsidRPr="00C225BE" w:rsidRDefault="007307B8">
      <w:pPr>
        <w:rPr>
          <w:rFonts w:asciiTheme="minorHAnsi" w:hAnsiTheme="minorHAnsi"/>
          <w:sz w:val="24"/>
          <w:szCs w:val="24"/>
        </w:rPr>
      </w:pPr>
    </w:p>
    <w:p w14:paraId="4D087E91" w14:textId="77777777" w:rsidR="00D04F94" w:rsidRPr="00C225BE" w:rsidRDefault="00D04F94">
      <w:pPr>
        <w:rPr>
          <w:rFonts w:asciiTheme="minorHAnsi" w:hAnsiTheme="minorHAnsi"/>
          <w:sz w:val="24"/>
          <w:szCs w:val="24"/>
        </w:rPr>
      </w:pPr>
    </w:p>
    <w:p w14:paraId="59EC69F3" w14:textId="77777777" w:rsidR="00D04F94" w:rsidRPr="00C225BE" w:rsidRDefault="00000000" w:rsidP="00D2189C">
      <w:pPr>
        <w:pStyle w:val="Heading1"/>
        <w:rPr>
          <w:rFonts w:asciiTheme="minorHAnsi" w:hAnsiTheme="minorHAnsi"/>
          <w:sz w:val="24"/>
          <w:szCs w:val="24"/>
        </w:rPr>
      </w:pPr>
      <w:bookmarkStart w:id="52" w:name="_Toc215947162"/>
      <w:r w:rsidRPr="00C225BE">
        <w:rPr>
          <w:rFonts w:asciiTheme="minorHAnsi" w:hAnsiTheme="minorHAnsi"/>
          <w:sz w:val="24"/>
          <w:szCs w:val="24"/>
        </w:rPr>
        <w:t>8. Progress Against Contractual Deliverables</w:t>
      </w:r>
      <w:bookmarkEnd w:id="52"/>
    </w:p>
    <w:p w14:paraId="5DA970FB" w14:textId="77777777" w:rsidR="00D04F94" w:rsidRPr="00C225BE" w:rsidRDefault="00000000">
      <w:pPr>
        <w:rPr>
          <w:rFonts w:asciiTheme="minorHAnsi" w:hAnsiTheme="minorHAnsi"/>
          <w:sz w:val="24"/>
          <w:szCs w:val="24"/>
        </w:rPr>
      </w:pPr>
      <w:r w:rsidRPr="00C225BE">
        <w:rPr>
          <w:rFonts w:asciiTheme="minorHAnsi" w:hAnsiTheme="minorHAnsi"/>
          <w:sz w:val="24"/>
          <w:szCs w:val="24"/>
        </w:rPr>
        <w:t xml:space="preserve"> </w:t>
      </w:r>
    </w:p>
    <w:tbl>
      <w:tblPr>
        <w:tblW w:w="11199" w:type="dxa"/>
        <w:tblInd w:w="-11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4"/>
        <w:gridCol w:w="2410"/>
        <w:gridCol w:w="4394"/>
        <w:gridCol w:w="1701"/>
      </w:tblGrid>
      <w:tr w:rsidR="00D2189C" w:rsidRPr="00C225BE" w14:paraId="3EB9BEF4" w14:textId="77777777" w:rsidTr="003A5237">
        <w:tc>
          <w:tcPr>
            <w:tcW w:w="2694" w:type="dxa"/>
          </w:tcPr>
          <w:p w14:paraId="486047FE" w14:textId="77777777" w:rsidR="00D2189C" w:rsidRPr="00C225BE" w:rsidRDefault="00D2189C" w:rsidP="003A5237">
            <w:pPr>
              <w:spacing w:after="0"/>
              <w:rPr>
                <w:rFonts w:asciiTheme="minorHAnsi" w:hAnsiTheme="minorHAnsi"/>
                <w:b/>
                <w:bCs/>
                <w:sz w:val="24"/>
                <w:szCs w:val="24"/>
              </w:rPr>
            </w:pPr>
            <w:r w:rsidRPr="00C225BE">
              <w:rPr>
                <w:rFonts w:asciiTheme="minorHAnsi" w:hAnsiTheme="minorHAnsi"/>
                <w:b/>
                <w:bCs/>
                <w:sz w:val="24"/>
                <w:szCs w:val="24"/>
              </w:rPr>
              <w:t>Contractual Deliverable</w:t>
            </w:r>
          </w:p>
        </w:tc>
        <w:tc>
          <w:tcPr>
            <w:tcW w:w="2410" w:type="dxa"/>
          </w:tcPr>
          <w:p w14:paraId="30B6A9F3" w14:textId="77777777" w:rsidR="00D2189C" w:rsidRPr="00C225BE" w:rsidRDefault="00D2189C" w:rsidP="003A5237">
            <w:pPr>
              <w:spacing w:after="0"/>
              <w:rPr>
                <w:rFonts w:asciiTheme="minorHAnsi" w:hAnsiTheme="minorHAnsi"/>
                <w:b/>
                <w:bCs/>
                <w:sz w:val="24"/>
                <w:szCs w:val="24"/>
              </w:rPr>
            </w:pPr>
            <w:r w:rsidRPr="00C225BE">
              <w:rPr>
                <w:rFonts w:asciiTheme="minorHAnsi" w:hAnsiTheme="minorHAnsi"/>
                <w:b/>
                <w:bCs/>
                <w:sz w:val="24"/>
                <w:szCs w:val="24"/>
              </w:rPr>
              <w:t>Planned Output</w:t>
            </w:r>
          </w:p>
        </w:tc>
        <w:tc>
          <w:tcPr>
            <w:tcW w:w="4394" w:type="dxa"/>
          </w:tcPr>
          <w:p w14:paraId="6AA29E79" w14:textId="77777777" w:rsidR="00D2189C" w:rsidRPr="00C225BE" w:rsidRDefault="00D2189C" w:rsidP="003A5237">
            <w:pPr>
              <w:spacing w:after="0"/>
              <w:rPr>
                <w:rFonts w:asciiTheme="minorHAnsi" w:hAnsiTheme="minorHAnsi"/>
                <w:b/>
                <w:bCs/>
                <w:sz w:val="24"/>
                <w:szCs w:val="24"/>
              </w:rPr>
            </w:pPr>
            <w:r w:rsidRPr="00C225BE">
              <w:rPr>
                <w:rFonts w:asciiTheme="minorHAnsi" w:hAnsiTheme="minorHAnsi"/>
                <w:b/>
                <w:bCs/>
                <w:sz w:val="24"/>
                <w:szCs w:val="24"/>
              </w:rPr>
              <w:t>Achieved Output</w:t>
            </w:r>
          </w:p>
        </w:tc>
        <w:tc>
          <w:tcPr>
            <w:tcW w:w="1701" w:type="dxa"/>
          </w:tcPr>
          <w:p w14:paraId="7BA687EE" w14:textId="77777777" w:rsidR="00D2189C" w:rsidRPr="00C225BE" w:rsidRDefault="00D2189C" w:rsidP="003A5237">
            <w:pPr>
              <w:spacing w:after="0"/>
              <w:rPr>
                <w:rFonts w:asciiTheme="minorHAnsi" w:hAnsiTheme="minorHAnsi"/>
                <w:b/>
                <w:bCs/>
                <w:sz w:val="24"/>
                <w:szCs w:val="24"/>
              </w:rPr>
            </w:pPr>
            <w:r w:rsidRPr="00C225BE">
              <w:rPr>
                <w:rFonts w:asciiTheme="minorHAnsi" w:hAnsiTheme="minorHAnsi"/>
                <w:b/>
                <w:bCs/>
                <w:sz w:val="24"/>
                <w:szCs w:val="24"/>
              </w:rPr>
              <w:t>Status</w:t>
            </w:r>
          </w:p>
        </w:tc>
      </w:tr>
      <w:tr w:rsidR="00D2189C" w:rsidRPr="00C225BE" w14:paraId="68F6EECE" w14:textId="77777777" w:rsidTr="003A5237">
        <w:tc>
          <w:tcPr>
            <w:tcW w:w="2694" w:type="dxa"/>
          </w:tcPr>
          <w:p w14:paraId="76DF7C77"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Research on Social Participation within UHC/NHIF/SHA Reforms</w:t>
            </w:r>
          </w:p>
        </w:tc>
        <w:tc>
          <w:tcPr>
            <w:tcW w:w="2410" w:type="dxa"/>
          </w:tcPr>
          <w:p w14:paraId="76B6DBA9"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Conduct a nationally compliant study assessing SPH integration in UHC reforms.</w:t>
            </w:r>
          </w:p>
        </w:tc>
        <w:tc>
          <w:tcPr>
            <w:tcW w:w="4394" w:type="dxa"/>
          </w:tcPr>
          <w:p w14:paraId="6015DB1A"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Research completed with NACOSTI &amp; AMREF approvals; 33 KIIs and 2 FGDs conducted; 3 journal-ready reports produced; findings informed national and county advocacy strategies.</w:t>
            </w:r>
          </w:p>
        </w:tc>
        <w:tc>
          <w:tcPr>
            <w:tcW w:w="1701" w:type="dxa"/>
          </w:tcPr>
          <w:p w14:paraId="41836643"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Fully Achieved</w:t>
            </w:r>
          </w:p>
        </w:tc>
      </w:tr>
      <w:tr w:rsidR="00D2189C" w:rsidRPr="00C225BE" w14:paraId="731E2EF3" w14:textId="77777777" w:rsidTr="003A5237">
        <w:tc>
          <w:tcPr>
            <w:tcW w:w="2694" w:type="dxa"/>
          </w:tcPr>
          <w:p w14:paraId="64344633"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Evidence Synthesis and Dissemination</w:t>
            </w:r>
          </w:p>
        </w:tc>
        <w:tc>
          <w:tcPr>
            <w:tcW w:w="2410" w:type="dxa"/>
          </w:tcPr>
          <w:p w14:paraId="44760BE9"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Produce evidence summaries to guide CSO action and advocacy.</w:t>
            </w:r>
          </w:p>
        </w:tc>
        <w:tc>
          <w:tcPr>
            <w:tcW w:w="4394" w:type="dxa"/>
          </w:tcPr>
          <w:p w14:paraId="7FB3CD5F"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County-level evidence briefs, national synthesis reports, and advocacy insights disseminated to CSOs, counties, and national actors.</w:t>
            </w:r>
          </w:p>
        </w:tc>
        <w:tc>
          <w:tcPr>
            <w:tcW w:w="1701" w:type="dxa"/>
          </w:tcPr>
          <w:p w14:paraId="2FDAACA6"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Fully Achieved</w:t>
            </w:r>
          </w:p>
        </w:tc>
      </w:tr>
      <w:tr w:rsidR="00D2189C" w:rsidRPr="00C225BE" w14:paraId="327CCAA6" w14:textId="77777777" w:rsidTr="003A5237">
        <w:tc>
          <w:tcPr>
            <w:tcW w:w="2694" w:type="dxa"/>
          </w:tcPr>
          <w:p w14:paraId="67FC0787"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Development of Advocacy Strategy &amp; Structured Model</w:t>
            </w:r>
          </w:p>
        </w:tc>
        <w:tc>
          <w:tcPr>
            <w:tcW w:w="2410" w:type="dxa"/>
          </w:tcPr>
          <w:p w14:paraId="4AB9AB92"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Create an evidence-driven advocacy plan for CSOs.</w:t>
            </w:r>
          </w:p>
        </w:tc>
        <w:tc>
          <w:tcPr>
            <w:tcW w:w="4394" w:type="dxa"/>
          </w:tcPr>
          <w:p w14:paraId="4FF7DE99"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Comprehensive advocacy model developed; integrated into SMART training; strategy informed county and national engagements.</w:t>
            </w:r>
          </w:p>
        </w:tc>
        <w:tc>
          <w:tcPr>
            <w:tcW w:w="1701" w:type="dxa"/>
          </w:tcPr>
          <w:p w14:paraId="73237643"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Fully Achieved</w:t>
            </w:r>
          </w:p>
        </w:tc>
      </w:tr>
      <w:tr w:rsidR="00D2189C" w:rsidRPr="00C225BE" w14:paraId="3469DDF3" w14:textId="77777777" w:rsidTr="003A5237">
        <w:tc>
          <w:tcPr>
            <w:tcW w:w="2694" w:type="dxa"/>
          </w:tcPr>
          <w:p w14:paraId="787701C4"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Capacity Building of CSOs and Community Actors</w:t>
            </w:r>
          </w:p>
        </w:tc>
        <w:tc>
          <w:tcPr>
            <w:tcW w:w="2410" w:type="dxa"/>
          </w:tcPr>
          <w:p w14:paraId="088BB6A4"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Train CSOs and county actors on budgeting, planning, and advocacy.</w:t>
            </w:r>
          </w:p>
        </w:tc>
        <w:tc>
          <w:tcPr>
            <w:tcW w:w="4394" w:type="dxa"/>
          </w:tcPr>
          <w:p w14:paraId="72EA5D8F"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 xml:space="preserve">17 </w:t>
            </w:r>
            <w:proofErr w:type="spellStart"/>
            <w:r w:rsidRPr="00C225BE">
              <w:rPr>
                <w:rFonts w:asciiTheme="minorHAnsi" w:hAnsiTheme="minorHAnsi"/>
                <w:sz w:val="24"/>
                <w:szCs w:val="24"/>
              </w:rPr>
              <w:t>ToTs</w:t>
            </w:r>
            <w:proofErr w:type="spellEnd"/>
            <w:r w:rsidRPr="00C225BE">
              <w:rPr>
                <w:rFonts w:asciiTheme="minorHAnsi" w:hAnsiTheme="minorHAnsi"/>
                <w:sz w:val="24"/>
                <w:szCs w:val="24"/>
              </w:rPr>
              <w:t xml:space="preserve"> trained through a 3-phase model; 220 Community Champions trained; 8 SMART advocacy plans developed based on county needs.</w:t>
            </w:r>
          </w:p>
        </w:tc>
        <w:tc>
          <w:tcPr>
            <w:tcW w:w="1701" w:type="dxa"/>
          </w:tcPr>
          <w:p w14:paraId="241428B1"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Exceeded</w:t>
            </w:r>
          </w:p>
        </w:tc>
      </w:tr>
      <w:tr w:rsidR="00D2189C" w:rsidRPr="00C225BE" w14:paraId="2006C30F" w14:textId="77777777" w:rsidTr="003A5237">
        <w:tc>
          <w:tcPr>
            <w:tcW w:w="2694" w:type="dxa"/>
          </w:tcPr>
          <w:p w14:paraId="5C749056"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Strengthening County-Level Participation Mechanisms</w:t>
            </w:r>
          </w:p>
        </w:tc>
        <w:tc>
          <w:tcPr>
            <w:tcW w:w="2410" w:type="dxa"/>
          </w:tcPr>
          <w:p w14:paraId="7ED22401"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Support counties to enhance SPH frameworks.</w:t>
            </w:r>
          </w:p>
        </w:tc>
        <w:tc>
          <w:tcPr>
            <w:tcW w:w="4394" w:type="dxa"/>
          </w:tcPr>
          <w:p w14:paraId="5EBC48BA"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Kakamega adopted Public Participation Policy (2024); multiple counties requested CSO technical support; strengthened inclusion of CSOs in CBEFs, SWGs, and budget hearings.</w:t>
            </w:r>
          </w:p>
        </w:tc>
        <w:tc>
          <w:tcPr>
            <w:tcW w:w="1701" w:type="dxa"/>
          </w:tcPr>
          <w:p w14:paraId="783EE5E7"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Fully Achieved</w:t>
            </w:r>
          </w:p>
        </w:tc>
      </w:tr>
      <w:tr w:rsidR="00D2189C" w:rsidRPr="00C225BE" w14:paraId="2EC81382" w14:textId="77777777" w:rsidTr="003A5237">
        <w:tc>
          <w:tcPr>
            <w:tcW w:w="2694" w:type="dxa"/>
          </w:tcPr>
          <w:p w14:paraId="3E75DEE8"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County Engagement and Advocacy Implementation</w:t>
            </w:r>
          </w:p>
        </w:tc>
        <w:tc>
          <w:tcPr>
            <w:tcW w:w="2410" w:type="dxa"/>
          </w:tcPr>
          <w:p w14:paraId="4AF5368F"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Facilitate structured county-level engagements.</w:t>
            </w:r>
          </w:p>
        </w:tc>
        <w:tc>
          <w:tcPr>
            <w:tcW w:w="4394" w:type="dxa"/>
          </w:tcPr>
          <w:p w14:paraId="3C3AE258"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 xml:space="preserve">Kilifi, Kitui, and Laikipia integrated community priorities into FY2025/26 </w:t>
            </w:r>
            <w:r w:rsidRPr="00C225BE">
              <w:rPr>
                <w:rFonts w:asciiTheme="minorHAnsi" w:hAnsiTheme="minorHAnsi"/>
                <w:sz w:val="24"/>
                <w:szCs w:val="24"/>
              </w:rPr>
              <w:lastRenderedPageBreak/>
              <w:t xml:space="preserve">budgets (e.g.,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8M maternity wing;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416M commodities;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36M CHPs).</w:t>
            </w:r>
          </w:p>
        </w:tc>
        <w:tc>
          <w:tcPr>
            <w:tcW w:w="1701" w:type="dxa"/>
          </w:tcPr>
          <w:p w14:paraId="3A0A0E01"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lastRenderedPageBreak/>
              <w:t>Fully Achieved</w:t>
            </w:r>
          </w:p>
        </w:tc>
      </w:tr>
      <w:tr w:rsidR="00D2189C" w:rsidRPr="00C225BE" w14:paraId="39DD4A84" w14:textId="77777777" w:rsidTr="003A5237">
        <w:tc>
          <w:tcPr>
            <w:tcW w:w="2694" w:type="dxa"/>
          </w:tcPr>
          <w:p w14:paraId="4CA11F38"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National-Level Advocacy &amp; Policy Engagement</w:t>
            </w:r>
          </w:p>
        </w:tc>
        <w:tc>
          <w:tcPr>
            <w:tcW w:w="2410" w:type="dxa"/>
          </w:tcPr>
          <w:p w14:paraId="5C377BA3"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Engage in UHC/SHA policy processes and national reforms.</w:t>
            </w:r>
          </w:p>
        </w:tc>
        <w:tc>
          <w:tcPr>
            <w:tcW w:w="4394" w:type="dxa"/>
          </w:tcPr>
          <w:p w14:paraId="578F0351"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&gt;500 CSOs reached through SHA forums; submissions made to Parliament, Treasury, MOH; contributions to Public Participation Bill; representation in SHA Benefits &amp; Tariffs Board and Health Financing TWG.</w:t>
            </w:r>
          </w:p>
        </w:tc>
        <w:tc>
          <w:tcPr>
            <w:tcW w:w="1701" w:type="dxa"/>
          </w:tcPr>
          <w:p w14:paraId="247F11DE"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Exceeded</w:t>
            </w:r>
          </w:p>
        </w:tc>
      </w:tr>
      <w:tr w:rsidR="00D2189C" w:rsidRPr="00C225BE" w14:paraId="516F3DF1" w14:textId="77777777" w:rsidTr="003A5237">
        <w:tc>
          <w:tcPr>
            <w:tcW w:w="2694" w:type="dxa"/>
          </w:tcPr>
          <w:p w14:paraId="79806DC3"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Global Engagement through SPHERE Consortium</w:t>
            </w:r>
          </w:p>
        </w:tc>
        <w:tc>
          <w:tcPr>
            <w:tcW w:w="2410" w:type="dxa"/>
          </w:tcPr>
          <w:p w14:paraId="4EFFBA70"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Participate in WHA, HSR, and global SPH platforms.</w:t>
            </w:r>
          </w:p>
        </w:tc>
        <w:tc>
          <w:tcPr>
            <w:tcW w:w="4394" w:type="dxa"/>
          </w:tcPr>
          <w:p w14:paraId="43A04A68"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Kenya contributed abstracts, presentations, and technical insights to WHA 2024 and HSR 2024; shared evidence globally.</w:t>
            </w:r>
          </w:p>
        </w:tc>
        <w:tc>
          <w:tcPr>
            <w:tcW w:w="1701" w:type="dxa"/>
          </w:tcPr>
          <w:p w14:paraId="77534AF3"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Fully Achieved</w:t>
            </w:r>
          </w:p>
        </w:tc>
      </w:tr>
      <w:tr w:rsidR="00D2189C" w:rsidRPr="00C225BE" w14:paraId="5D4C3A65" w14:textId="77777777" w:rsidTr="003A5237">
        <w:tc>
          <w:tcPr>
            <w:tcW w:w="2694" w:type="dxa"/>
          </w:tcPr>
          <w:p w14:paraId="33A83585"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Evaluation, Documentation &amp; National Learning Event</w:t>
            </w:r>
          </w:p>
        </w:tc>
        <w:tc>
          <w:tcPr>
            <w:tcW w:w="2410" w:type="dxa"/>
          </w:tcPr>
          <w:p w14:paraId="571A0987"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Conduct endline evaluation and learning dissemination.</w:t>
            </w:r>
          </w:p>
        </w:tc>
        <w:tc>
          <w:tcPr>
            <w:tcW w:w="4394" w:type="dxa"/>
          </w:tcPr>
          <w:p w14:paraId="1CEC748F"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National SPH Conference held July 2025; learning synthesized; final documentation completed and submitted.</w:t>
            </w:r>
          </w:p>
        </w:tc>
        <w:tc>
          <w:tcPr>
            <w:tcW w:w="1701" w:type="dxa"/>
          </w:tcPr>
          <w:p w14:paraId="364056BC" w14:textId="77777777" w:rsidR="00D2189C" w:rsidRPr="00C225BE" w:rsidRDefault="00D2189C" w:rsidP="003A5237">
            <w:pPr>
              <w:spacing w:after="0"/>
              <w:rPr>
                <w:rFonts w:asciiTheme="minorHAnsi" w:hAnsiTheme="minorHAnsi"/>
                <w:sz w:val="24"/>
                <w:szCs w:val="24"/>
              </w:rPr>
            </w:pPr>
            <w:r w:rsidRPr="00C225BE">
              <w:rPr>
                <w:rFonts w:asciiTheme="minorHAnsi" w:hAnsiTheme="minorHAnsi"/>
                <w:sz w:val="24"/>
                <w:szCs w:val="24"/>
              </w:rPr>
              <w:t>Fully Achieved</w:t>
            </w:r>
          </w:p>
        </w:tc>
      </w:tr>
    </w:tbl>
    <w:p w14:paraId="50691533" w14:textId="77777777" w:rsidR="00D04F94" w:rsidRPr="00C225BE" w:rsidRDefault="00D04F94">
      <w:pPr>
        <w:rPr>
          <w:rFonts w:asciiTheme="minorHAnsi" w:hAnsiTheme="minorHAnsi"/>
          <w:sz w:val="24"/>
          <w:szCs w:val="24"/>
        </w:rPr>
      </w:pPr>
    </w:p>
    <w:p w14:paraId="6A5F1D91" w14:textId="77777777" w:rsidR="00D04F94" w:rsidRPr="00C225BE" w:rsidRDefault="00000000" w:rsidP="00D2189C">
      <w:pPr>
        <w:pStyle w:val="Heading1"/>
        <w:rPr>
          <w:rFonts w:asciiTheme="minorHAnsi" w:hAnsiTheme="minorHAnsi"/>
          <w:sz w:val="24"/>
          <w:szCs w:val="24"/>
        </w:rPr>
      </w:pPr>
      <w:bookmarkStart w:id="53" w:name="_Toc215947163"/>
      <w:r w:rsidRPr="00C225BE">
        <w:rPr>
          <w:rFonts w:asciiTheme="minorHAnsi" w:hAnsiTheme="minorHAnsi"/>
          <w:sz w:val="24"/>
          <w:szCs w:val="24"/>
        </w:rPr>
        <w:t>9. Monitoring, Learning, and Adaptation</w:t>
      </w:r>
      <w:bookmarkEnd w:id="53"/>
    </w:p>
    <w:p w14:paraId="5DFE2DEC" w14:textId="77777777" w:rsidR="00D04F94" w:rsidRPr="00C225BE" w:rsidRDefault="00000000">
      <w:pPr>
        <w:spacing w:after="0" w:line="240" w:lineRule="auto"/>
        <w:jc w:val="both"/>
        <w:rPr>
          <w:rFonts w:asciiTheme="minorHAnsi" w:eastAsia="Times New Roman" w:hAnsiTheme="minorHAnsi" w:cs="Times New Roman"/>
          <w:sz w:val="24"/>
          <w:szCs w:val="24"/>
        </w:rPr>
      </w:pPr>
      <w:r w:rsidRPr="00C225BE">
        <w:rPr>
          <w:rFonts w:asciiTheme="minorHAnsi" w:hAnsiTheme="minorHAnsi"/>
          <w:sz w:val="24"/>
          <w:szCs w:val="24"/>
        </w:rPr>
        <w:t xml:space="preserve"> </w:t>
      </w:r>
      <w:r w:rsidRPr="00C225BE">
        <w:rPr>
          <w:rFonts w:asciiTheme="minorHAnsi" w:eastAsia="Times New Roman" w:hAnsiTheme="minorHAnsi" w:cs="Times New Roman"/>
          <w:sz w:val="24"/>
          <w:szCs w:val="24"/>
        </w:rPr>
        <w:t>Monitoring, learning, and adaptation were integral to the SPHERE project’s implementation approach and contributed significantly to its effectiveness, responsiveness, and overall impact. From inception to conclusion, the project emphasized continuous reflection, evidence-driven decision-making, and the integration of learning into real-time program adjustments. This approach ensured that the project remained aligned with shifting policy dynamics, the evolving SHA reform agenda, and the diverse needs and capacities of county-level actors.</w:t>
      </w:r>
    </w:p>
    <w:p w14:paraId="7B34A64D" w14:textId="77777777" w:rsidR="00D04F94" w:rsidRPr="00C225BE" w:rsidRDefault="00000000">
      <w:pPr>
        <w:spacing w:after="0" w:line="240" w:lineRule="auto"/>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project adopted a participatory monitoring framework that placed CSOs, community champions, and county officials at the center of data collection and reflection processes. Regular feedback loops were embedded within all stages of implementation. Monthly HENNET Member Meetings, county engagements, and consortium learning dialogues served as structured platforms for reviewing progress, identifying emerging challenges, and adjusting strategies accordingly. These mechanisms enabled the project team to detect early signals of implementation bottlenecks, such as gaps in county-level understanding of SHA reforms or the need for additional support in interpreting budget documents. As these issues emerged, the project quickly adapted training content, tailored advocacy tools, and intensified mentorship to ensure that CSOs and champions remained effective in rapidly changing environments.</w:t>
      </w:r>
    </w:p>
    <w:p w14:paraId="2DDCC392" w14:textId="77777777" w:rsidR="00D04F94" w:rsidRPr="00C225BE" w:rsidRDefault="00000000">
      <w:pPr>
        <w:spacing w:after="0" w:line="240" w:lineRule="auto"/>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Learning also occurred through systematic documentation of advocacy engagements, capacity-strengthening sessions, and county-level policy processes. Insights from these activities were synthesized into internal briefs and shared in real time across </w:t>
      </w:r>
      <w:r w:rsidRPr="00C225BE">
        <w:rPr>
          <w:rFonts w:asciiTheme="minorHAnsi" w:eastAsia="Times New Roman" w:hAnsiTheme="minorHAnsi" w:cs="Times New Roman"/>
          <w:sz w:val="24"/>
          <w:szCs w:val="24"/>
        </w:rPr>
        <w:lastRenderedPageBreak/>
        <w:t>counties, allowing actors to learn from one another’s experiences. Counties that advanced faster in developing SMART advocacy plans or influencing budgets provided peer learning to counties that were still building foundational capacity. This cross-county learning significantly accelerated progress and fostered a more cohesive national movement for Social Participation for Health.</w:t>
      </w:r>
    </w:p>
    <w:p w14:paraId="09478B96" w14:textId="77777777" w:rsidR="00D04F94" w:rsidRPr="00C225BE" w:rsidRDefault="00000000">
      <w:pPr>
        <w:spacing w:after="0" w:line="240" w:lineRule="auto"/>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At the consortium level, Kenya actively contributed to and benefited from global learning events organized under the SPHERE platform. These opportunities provided comparative perspectives from other countries and enabled the team to test its assumptions, refine methodological approaches, and strengthen its advocacy and research outputs. Global engagements also reinforced the importance of institutionalizing learning systems within SPH interventions, encouraging Kenya to adopt more structured monitoring practices and clearer documentation protocols.</w:t>
      </w:r>
    </w:p>
    <w:p w14:paraId="18C2C147" w14:textId="77777777" w:rsidR="00D04F94" w:rsidRPr="00C225BE" w:rsidRDefault="00000000">
      <w:pPr>
        <w:spacing w:after="0" w:line="240" w:lineRule="auto"/>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Adaptation was a particularly important feature of the project as Kenya moved from the NHIF system to the Social Health Authority (SHA) following the enactment of the Social Health Insurance Act (2023). This transition fundamentally shifted the policy landscape and required significant recalibration of the project’s advocacy strategies. Monitoring systems detected widespread confusion among communities and counties about SHA reforms, prompting the project to develop additional sensitization materials, align training modules with the new legal framework, and organize national and county-level SHA dialogues. These adaptations ensured the project remained highly relevant and responsive to emerging policy realities.</w:t>
      </w:r>
    </w:p>
    <w:p w14:paraId="027D74B9" w14:textId="77777777" w:rsidR="00D04F94" w:rsidRPr="00C225BE" w:rsidRDefault="00000000">
      <w:pPr>
        <w:spacing w:after="0" w:line="240" w:lineRule="auto"/>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endline National Social Participation for Health Conference in July 2025 served as a culminating learning and reflection event. Stakeholders from national and county governments, CSOs, academia, and development partners collectively assessed progress, shared county-specific experiences, and identified systemic opportunities and constraints for strengthening SPH in the post-project period. The conference validated the project’s monitoring findings, particularly the increased participation of communities in public processes, while also highlighting persistent gaps in converting participation into policy and resource shifts at scale.</w:t>
      </w:r>
    </w:p>
    <w:p w14:paraId="21F38BF7" w14:textId="77777777" w:rsidR="00D04F94" w:rsidRPr="00C225BE" w:rsidRDefault="00000000">
      <w:pPr>
        <w:spacing w:line="240" w:lineRule="auto"/>
        <w:jc w:val="both"/>
        <w:rPr>
          <w:rFonts w:asciiTheme="minorHAnsi" w:hAnsiTheme="minorHAnsi"/>
          <w:sz w:val="24"/>
          <w:szCs w:val="24"/>
        </w:rPr>
      </w:pPr>
      <w:r w:rsidRPr="00C225BE">
        <w:rPr>
          <w:rFonts w:asciiTheme="minorHAnsi" w:eastAsia="Times New Roman" w:hAnsiTheme="minorHAnsi" w:cs="Times New Roman"/>
          <w:sz w:val="24"/>
          <w:szCs w:val="24"/>
        </w:rPr>
        <w:t>Overall, the monitoring, learning, and adaptation systems embedded in the SPHERE project ensured a dynamic and flexible implementation process, strengthened accountability among partners, and reinforced the project’s capacity to generate evidence, influence policy, and sustain momentum for social participation in Kenya’s UHC reforms</w:t>
      </w:r>
    </w:p>
    <w:p w14:paraId="174D4366" w14:textId="77777777" w:rsidR="00D04F94" w:rsidRPr="00C225BE" w:rsidRDefault="00000000" w:rsidP="00D2189C">
      <w:pPr>
        <w:pStyle w:val="Heading1"/>
        <w:rPr>
          <w:rFonts w:asciiTheme="minorHAnsi" w:hAnsiTheme="minorHAnsi"/>
          <w:sz w:val="24"/>
          <w:szCs w:val="24"/>
        </w:rPr>
      </w:pPr>
      <w:bookmarkStart w:id="54" w:name="_Toc215947164"/>
      <w:r w:rsidRPr="00C225BE">
        <w:rPr>
          <w:rFonts w:asciiTheme="minorHAnsi" w:hAnsiTheme="minorHAnsi"/>
          <w:sz w:val="24"/>
          <w:szCs w:val="24"/>
        </w:rPr>
        <w:t>10. Challenges and Mitigation Strategies</w:t>
      </w:r>
      <w:bookmarkEnd w:id="54"/>
    </w:p>
    <w:p w14:paraId="0A1F612C"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Implementation of the SPHERE project occurred within a rapidly evolving policy, fiscal, and institutional environment, and several challenges emerged that influenced the pace and nature of project activities. Despite these constraints, the project demonstrated strong adaptability, using evidence-driven approaches and multi-stakeholder engagement to mitigate risks and sustain progress. The challenges encountered, and the strategies deployed to address them, are outlined below.</w:t>
      </w:r>
    </w:p>
    <w:p w14:paraId="70DF828A"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One of the most significant challenges encountered during implementation was the shifting funding landscape for health and civil society organizations in 2025. </w:t>
      </w:r>
      <w:r w:rsidRPr="00C225BE">
        <w:rPr>
          <w:rFonts w:asciiTheme="minorHAnsi" w:eastAsia="Times New Roman" w:hAnsiTheme="minorHAnsi" w:cs="Times New Roman"/>
          <w:sz w:val="24"/>
          <w:szCs w:val="24"/>
        </w:rPr>
        <w:lastRenderedPageBreak/>
        <w:t>Reductions in development partner support and broader fiscal tightening at national and county levels disrupted community-level interventions, including the facilitation of public participation forums and routine citizen engagement in monitoring health services. Limited financial resources constrained CSOs’ capacity to mobilize communities, document service delivery concerns, and engage meaningfully in decision-making spaces. To mitigate this, HENNET undertook targeted advocacy for sustained social participation by sensitizing CSOs on the importance of continued advocacy even in constrained environments, engaging development partners to emphasize the centrality of SPH in health systems strengthening, and working with national government to accelerate the development of Kenya’s social contracting guidelines. These measures aimed to secure more predictable financing pathways for CSOs and reduce the vulnerability of community engagement to external funding shocks.</w:t>
      </w:r>
    </w:p>
    <w:p w14:paraId="499FD2C1"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 second challenge related to the structural inconsistencies in Kenya’s public participation system. The project’s research demonstrated that, despite constitutional guarantees, citizen voices were often not systematically captured, documented, or acted upon during public forums. In several counties, participation processes were characterized by irregular scheduling, inadequate notice, or insufficient mechanisms for feedback and accountability. To address this, HENNET played a key role in supporting the development of the National Public Participation Bill, providing technical guidance, coordinating stakeholder consultations, and facilitating consensus-building across CSO networks. By advocating for clear standards, documentation protocols, and inclusion requirements, the project contributed to institutionalizing participation structures that are respectful, responsive, and legally enforceable.</w:t>
      </w:r>
    </w:p>
    <w:p w14:paraId="1365223D"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The project also faced challenges related to competing domestic funding priorities. Tight fiscal conditions, coupled with increasing demands across sectors such as infrastructure, agriculture, and education, created intense competition for available resources. This environment risked undermining equitable resource allocation within the health sector, particularly for vulnerable populations who rely heavily on public services. HENNET mitigated this by promoting multi-sectoral planning approaches that linked community-identified health priorities with county budget processes. Through evidence-driven discussions and fiscal analyses presented during public participation and budget hearings, the project encouraged more transparent and equity-focused budget decision-making.</w:t>
      </w:r>
    </w:p>
    <w:p w14:paraId="29DF35C2"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Persistent challenges also emerged in the inclusion of marginalized populations particularly women, youth, and persons with disabilities. Without deliberate engagement, these groups remained at risk of exclusion from governance and decision-making processes, both due to structural barriers and limited representation. The project addressed this challenge by establishing targeted </w:t>
      </w:r>
      <w:r w:rsidRPr="00C225BE">
        <w:rPr>
          <w:rFonts w:asciiTheme="minorHAnsi" w:eastAsia="Times New Roman" w:hAnsiTheme="minorHAnsi" w:cs="Times New Roman"/>
          <w:sz w:val="24"/>
          <w:szCs w:val="24"/>
        </w:rPr>
        <w:lastRenderedPageBreak/>
        <w:t>mechanisms to enhance inclusivity. This included supporting the creation of the SRHR Taskforce in Kakamega County, advocating for dedicated budget allocations in Laikipia County for disability and youth programs, and monitoring participation metrics to ensure that vulnerable groups were meaningfully engaged and able to influence decisions affecting their health and wellbeing.</w:t>
      </w:r>
    </w:p>
    <w:p w14:paraId="731E24C5"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Political and institutional barriers further complicated implementation. Changes in county leadership, bureaucratic delays, and shifting administrative priorities at both county and national levels occasionally disrupted planned engagements or slowed approvals. In some contexts, political sensitivities around SHA rollout and health financing reforms also created hesitancy among public officials. HENNET mitigated these constraints by cultivating multi-layered relationships with county and national institutions, ensuring that advocacy did not rely on a single entry point. Engagements were diversified across governors, executives, assemblies, treasury officials, and technical working groups to maintain continuity despite political shifts.</w:t>
      </w:r>
    </w:p>
    <w:p w14:paraId="66759CD7"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Finally, limited use of digital tools for participation posed a challenge in expanding citizen engagement to communities facing geographic or social barriers. Traditional in-person forums were sometimes inaccessible, particularly for rural women, youth, and persons with disabilities. HENNET responded by piloting hybrid engagement approaches incorporating online platforms, digital communication tools, and structured feedback channels. While these modalities require further investment for scale-up, they demonstrated promise in broadening participation and improving accountability mechanisms.</w:t>
      </w:r>
    </w:p>
    <w:p w14:paraId="490EC6F0" w14:textId="77777777" w:rsidR="00D04F94" w:rsidRPr="00C225BE" w:rsidRDefault="00000000" w:rsidP="00D2189C">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Collectively, these challenges underscored the complex ecosystem in which social participation operates. Through proactive mitigation strategies ranging from policy advocacy and institutional strengthening to inclusive programming and adaptive learning the project not only addressed immediate obstacles but also laid the groundwork for sustainable, system-wide improvements. These efforts have reinforced the foundations for long-term social participation in Kenya’s health sector, ensuring that citizen voices continue to shape policy, planning, and budgeting processes and that the health system becomes increasingly responsive, equitable, and accountable.</w:t>
      </w:r>
    </w:p>
    <w:p w14:paraId="56F2AF11" w14:textId="77777777" w:rsidR="00D04F94" w:rsidRPr="00C225BE" w:rsidRDefault="00000000" w:rsidP="00D2189C">
      <w:pPr>
        <w:pStyle w:val="Heading1"/>
        <w:rPr>
          <w:rFonts w:asciiTheme="minorHAnsi" w:hAnsiTheme="minorHAnsi"/>
          <w:sz w:val="24"/>
          <w:szCs w:val="24"/>
        </w:rPr>
      </w:pPr>
      <w:bookmarkStart w:id="55" w:name="_Toc215947165"/>
      <w:r w:rsidRPr="00C225BE">
        <w:rPr>
          <w:rFonts w:asciiTheme="minorHAnsi" w:hAnsiTheme="minorHAnsi"/>
          <w:sz w:val="24"/>
          <w:szCs w:val="24"/>
        </w:rPr>
        <w:t>11. Sustainability and Future Directions</w:t>
      </w:r>
      <w:bookmarkEnd w:id="55"/>
    </w:p>
    <w:p w14:paraId="3732FCC3"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The sustainability of the SPHERE project’s achievements is anchored in the strengthened capacities, institutional reforms, and multi-level partnerships cultivated throughout implementation. As the project concludes, it leaves behind an enabling environment in which civil society, communities, and government actors are better equipped and more committed to advancing Social Participation for Health (SPH) as a core pillar of Kenya’s Universal Health Coverage (UHC) reforms. The </w:t>
      </w:r>
      <w:r w:rsidRPr="00C225BE">
        <w:rPr>
          <w:rFonts w:asciiTheme="minorHAnsi" w:eastAsia="Times New Roman" w:hAnsiTheme="minorHAnsi" w:cs="Times New Roman"/>
          <w:sz w:val="24"/>
          <w:szCs w:val="24"/>
        </w:rPr>
        <w:lastRenderedPageBreak/>
        <w:t>investments made during the project have positioned HENNET and its members to sustain momentum, scale promising practices, and deepen the integration of participatory governance across the health sector.</w:t>
      </w:r>
    </w:p>
    <w:p w14:paraId="3A1799A9"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 key driver of sustainability is the robust capacity base formed through the training of 17 Trainers of Trainers and 220 Community Champions. These actors now possess advanced skills in public finance management, SMART advocacy, policy interpretation, and budget monitoring. Their continued engagement ensures that evidence-based advocacy and community-driven accountability will persist beyond the life of the project. The SMART advocacy plans developed in eight counties also provide long-term roadmaps that champions can continue to implement and adapt, ensuring continuity in advocacy priorities and county engagement.</w:t>
      </w:r>
    </w:p>
    <w:p w14:paraId="366EB38C"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Sustainability is further reinforced by the institutional frameworks strengthened during the project—most notably Kakamega County’s adoption of a Public Participation Policy and national progress toward the Public Participation Bill. These instruments offer legally anchored mechanisms for structured, inclusive, and accountable citizen engagement. As more counties consider similar frameworks, the governance foundations laid by the project will support long-term institutionalization of SPH across devolved units. Moreover, HENNET’s contributions to shaping the Public Participation Bill ensure that the national legal environment increasingly aligns with constitutional expectations on participation and strengthens the accountability of both county and national institutions.</w:t>
      </w:r>
    </w:p>
    <w:p w14:paraId="4FEAE2D1"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Building on these achievements and leveraging HENNET’s established coordination model, the organization will continue to champion the institutionalization of social participation in health governance. This will include advocating for the incorporation of inclusive engagement frameworks into national and county health policies, strategies, and legislative processes. Structured engagement with policymakers, coupled with strategic public petitions, will be prioritized to fast-track the enactment of the Public Participation Bill, ensuring its provisions create systematic and sustainable avenues for civil society and community participation in health decision-making.</w:t>
      </w:r>
    </w:p>
    <w:p w14:paraId="010C476B"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HENNET will also consolidate and expand its capacity-strengthening initiatives. By targeting civil society organizations and community actors with continued training in UHC processes such as health financing, planning, monitoring, and accountability HENNET will ensure that technical skills gained during the project are not only retained but also deepened and replicated. These ongoing efforts will equip communities with the knowledge, tools, and frameworks required to engage effectively in governance processes, reinforcing the long-term sustainability of participatory approaches in the health sector.</w:t>
      </w:r>
    </w:p>
    <w:p w14:paraId="4F1C7F07"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Multi-sectoral partnerships will continue to play a vital role in future sustainability. HENNET will strengthen collaborations with government agencies, private sector </w:t>
      </w:r>
      <w:r w:rsidRPr="00C225BE">
        <w:rPr>
          <w:rFonts w:asciiTheme="minorHAnsi" w:eastAsia="Times New Roman" w:hAnsiTheme="minorHAnsi" w:cs="Times New Roman"/>
          <w:sz w:val="24"/>
          <w:szCs w:val="24"/>
        </w:rPr>
        <w:lastRenderedPageBreak/>
        <w:t>stakeholders, academia, and development partners to leverage complementary expertise and resources. These partnerships will promote harmonized, scalable, and institutionalized approaches to SPH, health system strengthening, and evidence-informed policymaking. By building coalitions that bridge sectors, HENNET will enhance the resilience and reach of participatory governance systems.</w:t>
      </w:r>
    </w:p>
    <w:p w14:paraId="1342215D"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Equity and inclusivity remain central to HENNET’s sustainability agenda. The organization will prioritize mechanisms to ensure that marginalized populations including women, youth, and persons with disabilities maintain a substantive voice in UHC implementation and governance. This includes supporting targeted structures such as disability inclusion programs, youth mentorship platforms, and SRHR taskforces, and expanding innovative engagement modalities like digital platforms and hybrid participation tools. These adaptable mechanisms will broaden community access, enhance transparency, and strengthen accountability across health system processes.</w:t>
      </w:r>
    </w:p>
    <w:p w14:paraId="6B06A85A"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In sum, the SPHERE project has laid a durable foundation for future action. Through sustained capacity building, strengthened governance frameworks, deepened partnerships, and a strong commitment to equity and inclusivity, HENNET aims not only to preserve the momentum generated by this project but to embed a lasting culture of meaningful social participation within Kenya’s health sector. By institutionalizing inclusive engagement practices and promoting accountability at all levels, HENNET will continue to contribute to the development of responsive, resilient, and equitable health systems, supporting Kenya’s progress toward Universal Health Coverage by 2030.</w:t>
      </w:r>
    </w:p>
    <w:p w14:paraId="79756E0B" w14:textId="77777777" w:rsidR="00D04F94" w:rsidRPr="00C225BE" w:rsidRDefault="00D04F94">
      <w:pPr>
        <w:rPr>
          <w:rFonts w:asciiTheme="minorHAnsi" w:hAnsiTheme="minorHAnsi"/>
          <w:sz w:val="24"/>
          <w:szCs w:val="24"/>
        </w:rPr>
      </w:pPr>
    </w:p>
    <w:p w14:paraId="290B84D3" w14:textId="77777777" w:rsidR="00D04F94" w:rsidRPr="00C225BE" w:rsidRDefault="00D04F94">
      <w:pPr>
        <w:rPr>
          <w:rFonts w:asciiTheme="minorHAnsi" w:hAnsiTheme="minorHAnsi"/>
          <w:sz w:val="24"/>
          <w:szCs w:val="24"/>
        </w:rPr>
      </w:pPr>
    </w:p>
    <w:p w14:paraId="39F34AA0" w14:textId="77777777" w:rsidR="00D04F94" w:rsidRPr="00C225BE" w:rsidRDefault="00D04F94">
      <w:pPr>
        <w:rPr>
          <w:rFonts w:asciiTheme="minorHAnsi" w:hAnsiTheme="minorHAnsi"/>
          <w:sz w:val="24"/>
          <w:szCs w:val="24"/>
        </w:rPr>
      </w:pPr>
    </w:p>
    <w:p w14:paraId="4582A9E7" w14:textId="77777777" w:rsidR="00D04F94" w:rsidRPr="00C225BE" w:rsidRDefault="00D04F94">
      <w:pPr>
        <w:rPr>
          <w:rFonts w:asciiTheme="minorHAnsi" w:hAnsiTheme="minorHAnsi"/>
          <w:sz w:val="24"/>
          <w:szCs w:val="24"/>
        </w:rPr>
      </w:pPr>
    </w:p>
    <w:p w14:paraId="40BCCB39" w14:textId="77777777" w:rsidR="00D04F94" w:rsidRPr="00C225BE" w:rsidRDefault="00D04F94">
      <w:pPr>
        <w:rPr>
          <w:rFonts w:asciiTheme="minorHAnsi" w:hAnsiTheme="minorHAnsi"/>
          <w:sz w:val="24"/>
          <w:szCs w:val="24"/>
        </w:rPr>
      </w:pPr>
    </w:p>
    <w:p w14:paraId="25CD2E6A" w14:textId="77777777" w:rsidR="00D04F94" w:rsidRPr="00C225BE" w:rsidRDefault="00D04F94">
      <w:pPr>
        <w:rPr>
          <w:rFonts w:asciiTheme="minorHAnsi" w:hAnsiTheme="minorHAnsi"/>
          <w:sz w:val="24"/>
          <w:szCs w:val="24"/>
        </w:rPr>
      </w:pPr>
    </w:p>
    <w:p w14:paraId="4B7A50C7" w14:textId="77777777" w:rsidR="00D04F94" w:rsidRPr="00C225BE" w:rsidRDefault="00000000" w:rsidP="00D2189C">
      <w:pPr>
        <w:pStyle w:val="Heading1"/>
        <w:rPr>
          <w:rFonts w:asciiTheme="minorHAnsi" w:hAnsiTheme="minorHAnsi"/>
          <w:sz w:val="24"/>
          <w:szCs w:val="24"/>
        </w:rPr>
      </w:pPr>
      <w:bookmarkStart w:id="56" w:name="_Toc215947166"/>
      <w:r w:rsidRPr="00C225BE">
        <w:rPr>
          <w:rFonts w:asciiTheme="minorHAnsi" w:hAnsiTheme="minorHAnsi"/>
          <w:sz w:val="24"/>
          <w:szCs w:val="24"/>
        </w:rPr>
        <w:t>12. Conclusion</w:t>
      </w:r>
      <w:bookmarkEnd w:id="56"/>
    </w:p>
    <w:p w14:paraId="2E79CBF1" w14:textId="77777777" w:rsidR="00D04F94" w:rsidRPr="00C225BE" w:rsidRDefault="00000000">
      <w:pPr>
        <w:rPr>
          <w:rFonts w:asciiTheme="minorHAnsi" w:eastAsia="Times New Roman" w:hAnsiTheme="minorHAnsi" w:cs="Times New Roman"/>
          <w:sz w:val="24"/>
          <w:szCs w:val="24"/>
        </w:rPr>
      </w:pPr>
      <w:r w:rsidRPr="00C225BE">
        <w:rPr>
          <w:rFonts w:asciiTheme="minorHAnsi" w:hAnsiTheme="minorHAnsi"/>
          <w:sz w:val="24"/>
          <w:szCs w:val="24"/>
        </w:rPr>
        <w:t xml:space="preserve"> </w:t>
      </w:r>
      <w:r w:rsidRPr="00C225BE">
        <w:rPr>
          <w:rFonts w:asciiTheme="minorHAnsi" w:eastAsia="Times New Roman" w:hAnsiTheme="minorHAnsi" w:cs="Times New Roman"/>
          <w:sz w:val="24"/>
          <w:szCs w:val="24"/>
        </w:rPr>
        <w:t xml:space="preserve">The SPHERE project has made significant contributions to the advancement of Social Participation for Health (SPH) within Kenya’s Universal Health Coverage (UHC) agenda. Over the two-year implementation period, the project successfully generated rigorous evidence, strengthened the technical capacity of civil society organizations and community actors, and catalyzed meaningful changes in both </w:t>
      </w:r>
      <w:r w:rsidRPr="00C225BE">
        <w:rPr>
          <w:rFonts w:asciiTheme="minorHAnsi" w:eastAsia="Times New Roman" w:hAnsiTheme="minorHAnsi" w:cs="Times New Roman"/>
          <w:sz w:val="24"/>
          <w:szCs w:val="24"/>
        </w:rPr>
        <w:lastRenderedPageBreak/>
        <w:t>county and national health governance systems. Through a structured approach that combined research, capacity building, advocacy, and cross-sectoral collaboration, the project demonstrated the transformative potential of informed and organized citizen engagement in shaping health policy, planning, and service delivery.</w:t>
      </w:r>
    </w:p>
    <w:p w14:paraId="1191BABD"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 central achievement of the project was the development of a strong, evidence-driven foundation for advocacy. The first-of-its-kind research on SPH within Kenya’s UHC reforms provided critical insights into the structural, cultural, and systemic barriers that have historically limited meaningful citizen participation. These findings informed the development of targeted advocacy strategies and equipped CSOs and community champions with the knowledge and tools required to engage effectively within complex governance environments. This evidence-driven approach enhanced the credibility, coherence, and strategic clarity of civil society engagement at both county and national levels.</w:t>
      </w:r>
    </w:p>
    <w:p w14:paraId="1EB5A480"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Equally significant were the gains made in capacity strengthening. By training 17 Trainers of Trainers and 220 Community Champions, the project cultivated a cadre of technically skilled advocates capable of navigating health financing systems, interpreting policy reforms, and influencing county and national decision-making processes. These champions, supported by eight county-specific SMART advocacy plans, now serve as critical actors in sustaining participatory governance and ensuring that community priorities continue to inform UHC implementation beyond the project period.</w:t>
      </w:r>
    </w:p>
    <w:p w14:paraId="3974930C"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At the county level, the project contributed to tangible improvements in public participation, budget prioritization, and inclusivity in health governance. Counties such as Kilifi, Kitui, Laikipia, and Kakamega demonstrated meaningful integration of community-driven priorities into their planning and budgeting processes, resulting in resource allocations that address maternal health, diagnostics, emergency services, disability inclusion, and community health workforce strengthening. The adoption of the Public Participation Policy in Kakamega County, in particular, stands as a landmark governance achievement that institutionalizes structured, responsive, and accountable engagement.</w:t>
      </w:r>
    </w:p>
    <w:p w14:paraId="483A1750"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Nationally, the project played a pivotal role in shaping emerging health governance reforms, including the transition to the Social Health Authority (SHA). Through evidence-based memoranda, public sensitization forums, and active participation in legislative and policy development processes, HENNET and its members helped elevate citizen perspectives within national dialogues. Representation on the SHA Benefits and Tariffs Advisory Board and participation in the National Health Financing Technical Working Group further ensured that civil society voices are integrated into the highest levels of health financing decision-making.</w:t>
      </w:r>
    </w:p>
    <w:p w14:paraId="779D3DBD"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lastRenderedPageBreak/>
        <w:t>Despite the challenges encountered including shifting funding landscapes, inconsistent public participation structures, and political and institutional barriers the project demonstrated resilience and adaptability. Mitigation strategies grounded in evidence, stakeholder engagement, and flexible implementation ensured that momentum was maintained and that learning from challenges strengthened the overall approach. These adaptations underscore the importance of responsive programming and the value of collaborative learning within complex reforms.</w:t>
      </w:r>
    </w:p>
    <w:p w14:paraId="66566828"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As the project concludes, it leaves behind strengthened institutional structures, empowered community actors, and a more coordinated and capable civil society movement. The work has laid a durable foundation for sustained social participation, improved governance practices, and more equitable health systems. Continued advocacy, strategic partnerships, and institutionalization of participatory frameworks will be essential to maintain and expand these gains. HENNET’s commitment to advancing SPH ensures that the progress achieved under this project will continue to inform Kenya’s health sector transformation and contribute to the country’s broader journey toward Universal Health Coverage by 2030.</w:t>
      </w:r>
    </w:p>
    <w:p w14:paraId="1BE6A0F9" w14:textId="77777777" w:rsidR="00D04F94" w:rsidRPr="00C225BE" w:rsidRDefault="00000000">
      <w:pPr>
        <w:spacing w:after="0"/>
        <w:jc w:val="both"/>
        <w:rPr>
          <w:rFonts w:asciiTheme="minorHAnsi" w:eastAsia="Times New Roman" w:hAnsiTheme="minorHAnsi" w:cs="Times New Roman"/>
          <w:sz w:val="24"/>
          <w:szCs w:val="24"/>
        </w:rPr>
      </w:pPr>
      <w:r w:rsidRPr="00C225BE">
        <w:rPr>
          <w:rFonts w:asciiTheme="minorHAnsi" w:eastAsia="Times New Roman" w:hAnsiTheme="minorHAnsi" w:cs="Times New Roman"/>
          <w:sz w:val="24"/>
          <w:szCs w:val="24"/>
        </w:rPr>
        <w:t xml:space="preserve"> </w:t>
      </w:r>
    </w:p>
    <w:p w14:paraId="79BA2D25" w14:textId="77777777" w:rsidR="00D04F94" w:rsidRPr="00C225BE" w:rsidRDefault="00D04F94">
      <w:pPr>
        <w:rPr>
          <w:rFonts w:asciiTheme="minorHAnsi" w:hAnsiTheme="minorHAnsi"/>
          <w:sz w:val="24"/>
          <w:szCs w:val="24"/>
        </w:rPr>
      </w:pPr>
    </w:p>
    <w:p w14:paraId="7662E996" w14:textId="77777777" w:rsidR="00D04F94" w:rsidRPr="00C225BE" w:rsidRDefault="00D04F94">
      <w:pPr>
        <w:rPr>
          <w:rFonts w:asciiTheme="minorHAnsi" w:hAnsiTheme="minorHAnsi"/>
          <w:sz w:val="24"/>
          <w:szCs w:val="24"/>
        </w:rPr>
      </w:pPr>
    </w:p>
    <w:p w14:paraId="4BA81727" w14:textId="77777777" w:rsidR="00D04F94" w:rsidRPr="00C225BE" w:rsidRDefault="00D04F94">
      <w:pPr>
        <w:rPr>
          <w:rFonts w:asciiTheme="minorHAnsi" w:hAnsiTheme="minorHAnsi"/>
          <w:sz w:val="24"/>
          <w:szCs w:val="24"/>
        </w:rPr>
      </w:pPr>
    </w:p>
    <w:p w14:paraId="0A8D1028" w14:textId="77777777" w:rsidR="00D04F94" w:rsidRPr="00C225BE" w:rsidRDefault="00D04F94">
      <w:pPr>
        <w:rPr>
          <w:rFonts w:asciiTheme="minorHAnsi" w:hAnsiTheme="minorHAnsi"/>
          <w:sz w:val="24"/>
          <w:szCs w:val="24"/>
        </w:rPr>
      </w:pPr>
    </w:p>
    <w:p w14:paraId="60B191F7" w14:textId="77777777" w:rsidR="00D04F94" w:rsidRPr="00C225BE" w:rsidRDefault="00D04F94">
      <w:pPr>
        <w:rPr>
          <w:rFonts w:asciiTheme="minorHAnsi" w:hAnsiTheme="minorHAnsi"/>
          <w:sz w:val="24"/>
          <w:szCs w:val="24"/>
        </w:rPr>
      </w:pPr>
    </w:p>
    <w:p w14:paraId="17399CDB" w14:textId="77777777" w:rsidR="00D04F94" w:rsidRPr="00C225BE" w:rsidRDefault="00D04F94">
      <w:pPr>
        <w:rPr>
          <w:rFonts w:asciiTheme="minorHAnsi" w:hAnsiTheme="minorHAnsi"/>
          <w:sz w:val="24"/>
          <w:szCs w:val="24"/>
        </w:rPr>
      </w:pPr>
    </w:p>
    <w:p w14:paraId="18433528" w14:textId="77777777" w:rsidR="00D04F94" w:rsidRPr="00C225BE" w:rsidRDefault="00D04F94">
      <w:pPr>
        <w:rPr>
          <w:rFonts w:asciiTheme="minorHAnsi" w:hAnsiTheme="minorHAnsi"/>
          <w:sz w:val="24"/>
          <w:szCs w:val="24"/>
        </w:rPr>
      </w:pPr>
    </w:p>
    <w:p w14:paraId="655B10D4" w14:textId="77777777" w:rsidR="00D04F94" w:rsidRPr="00C225BE" w:rsidRDefault="00D04F94">
      <w:pPr>
        <w:rPr>
          <w:rFonts w:asciiTheme="minorHAnsi" w:hAnsiTheme="minorHAnsi"/>
          <w:sz w:val="24"/>
          <w:szCs w:val="24"/>
        </w:rPr>
      </w:pPr>
    </w:p>
    <w:p w14:paraId="71A171ED" w14:textId="77777777" w:rsidR="00D04F94" w:rsidRPr="00C225BE" w:rsidRDefault="00D04F94">
      <w:pPr>
        <w:rPr>
          <w:rFonts w:asciiTheme="minorHAnsi" w:hAnsiTheme="minorHAnsi"/>
          <w:sz w:val="24"/>
          <w:szCs w:val="24"/>
        </w:rPr>
      </w:pPr>
    </w:p>
    <w:p w14:paraId="599C73ED" w14:textId="77777777" w:rsidR="00D04F94" w:rsidRPr="00C225BE" w:rsidRDefault="00D04F94">
      <w:pPr>
        <w:rPr>
          <w:rFonts w:asciiTheme="minorHAnsi" w:hAnsiTheme="minorHAnsi"/>
          <w:sz w:val="24"/>
          <w:szCs w:val="24"/>
        </w:rPr>
      </w:pPr>
    </w:p>
    <w:p w14:paraId="62183B6A" w14:textId="77777777" w:rsidR="00D04F94" w:rsidRPr="00C225BE" w:rsidRDefault="00D04F94">
      <w:pPr>
        <w:rPr>
          <w:rFonts w:asciiTheme="minorHAnsi" w:hAnsiTheme="minorHAnsi"/>
          <w:sz w:val="24"/>
          <w:szCs w:val="24"/>
        </w:rPr>
      </w:pPr>
    </w:p>
    <w:p w14:paraId="56AC360F" w14:textId="77777777" w:rsidR="00D04F94" w:rsidRPr="00C225BE" w:rsidRDefault="00D04F94">
      <w:pPr>
        <w:rPr>
          <w:rFonts w:asciiTheme="minorHAnsi" w:hAnsiTheme="minorHAnsi"/>
          <w:sz w:val="24"/>
          <w:szCs w:val="24"/>
        </w:rPr>
      </w:pPr>
    </w:p>
    <w:p w14:paraId="27A2D483" w14:textId="77777777" w:rsidR="00D04F94" w:rsidRPr="00C225BE" w:rsidRDefault="00000000" w:rsidP="00D2189C">
      <w:pPr>
        <w:pStyle w:val="Heading1"/>
        <w:rPr>
          <w:rFonts w:asciiTheme="minorHAnsi" w:hAnsiTheme="minorHAnsi"/>
          <w:sz w:val="24"/>
          <w:szCs w:val="24"/>
        </w:rPr>
      </w:pPr>
      <w:bookmarkStart w:id="57" w:name="_Toc215947167"/>
      <w:r w:rsidRPr="00C225BE">
        <w:rPr>
          <w:rFonts w:asciiTheme="minorHAnsi" w:hAnsiTheme="minorHAnsi"/>
          <w:sz w:val="24"/>
          <w:szCs w:val="24"/>
        </w:rPr>
        <w:t>13. Annexes</w:t>
      </w:r>
      <w:bookmarkEnd w:id="57"/>
    </w:p>
    <w:tbl>
      <w:tblPr>
        <w:tblStyle w:val="a1"/>
        <w:tblW w:w="86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08"/>
        <w:gridCol w:w="1180"/>
        <w:gridCol w:w="961"/>
        <w:gridCol w:w="2933"/>
        <w:gridCol w:w="2958"/>
      </w:tblGrid>
      <w:tr w:rsidR="00D04F94" w:rsidRPr="00C225BE" w14:paraId="37AFEA06" w14:textId="77777777">
        <w:trPr>
          <w:trHeight w:val="285"/>
        </w:trPr>
        <w:tc>
          <w:tcPr>
            <w:tcW w:w="608" w:type="dxa"/>
            <w:tcBorders>
              <w:top w:val="single" w:sz="8" w:space="0" w:color="000000"/>
              <w:left w:val="single" w:sz="8" w:space="0" w:color="000000"/>
              <w:bottom w:val="single" w:sz="8" w:space="0" w:color="000000"/>
              <w:right w:val="single" w:sz="8" w:space="0" w:color="000000"/>
            </w:tcBorders>
            <w:shd w:val="clear" w:color="auto" w:fill="70AD47"/>
            <w:tcMar>
              <w:top w:w="0" w:type="dxa"/>
              <w:left w:w="100" w:type="dxa"/>
              <w:bottom w:w="0" w:type="dxa"/>
              <w:right w:w="100" w:type="dxa"/>
            </w:tcMar>
          </w:tcPr>
          <w:p w14:paraId="2CBF711E"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t>No.</w:t>
            </w:r>
          </w:p>
        </w:tc>
        <w:tc>
          <w:tcPr>
            <w:tcW w:w="1180" w:type="dxa"/>
            <w:tcBorders>
              <w:top w:val="single" w:sz="8" w:space="0" w:color="000000"/>
              <w:left w:val="nil"/>
              <w:bottom w:val="single" w:sz="8" w:space="0" w:color="000000"/>
              <w:right w:val="single" w:sz="8" w:space="0" w:color="000000"/>
            </w:tcBorders>
            <w:shd w:val="clear" w:color="auto" w:fill="70AD47"/>
            <w:tcMar>
              <w:top w:w="0" w:type="dxa"/>
              <w:left w:w="100" w:type="dxa"/>
              <w:bottom w:w="0" w:type="dxa"/>
              <w:right w:w="100" w:type="dxa"/>
            </w:tcMar>
          </w:tcPr>
          <w:p w14:paraId="47636955"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t>COUNTY</w:t>
            </w:r>
          </w:p>
        </w:tc>
        <w:tc>
          <w:tcPr>
            <w:tcW w:w="3893" w:type="dxa"/>
            <w:gridSpan w:val="2"/>
            <w:tcBorders>
              <w:top w:val="single" w:sz="8" w:space="0" w:color="000000"/>
              <w:left w:val="nil"/>
              <w:bottom w:val="single" w:sz="8" w:space="0" w:color="000000"/>
              <w:right w:val="single" w:sz="8" w:space="0" w:color="000000"/>
            </w:tcBorders>
            <w:shd w:val="clear" w:color="auto" w:fill="70AD47"/>
            <w:tcMar>
              <w:top w:w="0" w:type="dxa"/>
              <w:left w:w="100" w:type="dxa"/>
              <w:bottom w:w="0" w:type="dxa"/>
              <w:right w:w="100" w:type="dxa"/>
            </w:tcMar>
          </w:tcPr>
          <w:p w14:paraId="4BCCCF20"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t>SMART OBJECTIVE</w:t>
            </w:r>
          </w:p>
        </w:tc>
        <w:tc>
          <w:tcPr>
            <w:tcW w:w="2957" w:type="dxa"/>
            <w:tcBorders>
              <w:top w:val="single" w:sz="8" w:space="0" w:color="000000"/>
              <w:left w:val="nil"/>
              <w:bottom w:val="single" w:sz="8" w:space="0" w:color="000000"/>
              <w:right w:val="single" w:sz="8" w:space="0" w:color="000000"/>
            </w:tcBorders>
            <w:shd w:val="clear" w:color="auto" w:fill="70AD47"/>
            <w:tcMar>
              <w:top w:w="0" w:type="dxa"/>
              <w:left w:w="100" w:type="dxa"/>
              <w:bottom w:w="0" w:type="dxa"/>
              <w:right w:w="100" w:type="dxa"/>
            </w:tcMar>
          </w:tcPr>
          <w:p w14:paraId="0B32D206"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t>STATUS June 2025</w:t>
            </w:r>
          </w:p>
        </w:tc>
      </w:tr>
      <w:tr w:rsidR="00D04F94" w:rsidRPr="00C225BE" w14:paraId="0FC2F0EE" w14:textId="77777777">
        <w:trPr>
          <w:trHeight w:val="3135"/>
        </w:trPr>
        <w:tc>
          <w:tcPr>
            <w:tcW w:w="608"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2B1CAB5"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lastRenderedPageBreak/>
              <w:t>1</w:t>
            </w:r>
          </w:p>
        </w:tc>
        <w:tc>
          <w:tcPr>
            <w:tcW w:w="1180" w:type="dxa"/>
            <w:vMerge w:val="restart"/>
            <w:tcBorders>
              <w:top w:val="nil"/>
              <w:left w:val="nil"/>
              <w:bottom w:val="single" w:sz="8" w:space="0" w:color="000000"/>
              <w:right w:val="single" w:sz="8" w:space="0" w:color="000000"/>
            </w:tcBorders>
            <w:tcMar>
              <w:top w:w="0" w:type="dxa"/>
              <w:left w:w="100" w:type="dxa"/>
              <w:bottom w:w="0" w:type="dxa"/>
              <w:right w:w="100" w:type="dxa"/>
            </w:tcMar>
          </w:tcPr>
          <w:p w14:paraId="29BA7C7D"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Kakamega</w:t>
            </w: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72468F43"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Advocacy  1</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17F304F6"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Director of Public Health to make a formal directive to the relevant department in the sub-counties on dissemination of UHC information by January 2025</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61122283" w14:textId="77777777" w:rsidR="00D04F94" w:rsidRPr="00C225BE" w:rsidRDefault="00000000">
            <w:pPr>
              <w:spacing w:after="0"/>
              <w:jc w:val="both"/>
              <w:rPr>
                <w:rFonts w:asciiTheme="minorHAnsi" w:eastAsia="Arial" w:hAnsiTheme="minorHAnsi" w:cs="Arial"/>
                <w:sz w:val="24"/>
                <w:szCs w:val="24"/>
              </w:rPr>
            </w:pPr>
            <w:r w:rsidRPr="00C225BE">
              <w:rPr>
                <w:rFonts w:asciiTheme="minorHAnsi" w:hAnsiTheme="minorHAnsi"/>
                <w:sz w:val="24"/>
                <w:szCs w:val="24"/>
              </w:rPr>
              <w:t>Kakamega County has formally adopted the Public Participation Policy, planning full operationalization from January 2025 (OGP commitment).</w:t>
            </w:r>
            <w:hyperlink r:id="rId10">
              <w:r w:rsidR="00D04F94" w:rsidRPr="00C225BE">
                <w:rPr>
                  <w:rFonts w:asciiTheme="minorHAnsi" w:hAnsiTheme="minorHAnsi"/>
                  <w:sz w:val="24"/>
                  <w:szCs w:val="24"/>
                </w:rPr>
                <w:t xml:space="preserve"> </w:t>
              </w:r>
            </w:hyperlink>
            <w:hyperlink r:id="rId11">
              <w:r w:rsidR="00D04F94" w:rsidRPr="00C225BE">
                <w:rPr>
                  <w:rFonts w:asciiTheme="minorHAnsi" w:eastAsia="Arial" w:hAnsiTheme="minorHAnsi" w:cs="Arial"/>
                  <w:color w:val="0000FF"/>
                  <w:sz w:val="24"/>
                  <w:szCs w:val="24"/>
                  <w:u w:val="single"/>
                </w:rPr>
                <w:t>Open Government Partnership</w:t>
              </w:r>
            </w:hyperlink>
            <w:r w:rsidRPr="00C225BE">
              <w:rPr>
                <w:rFonts w:asciiTheme="minorHAnsi" w:eastAsia="Arial" w:hAnsiTheme="minorHAnsi" w:cs="Arial"/>
                <w:sz w:val="24"/>
                <w:szCs w:val="24"/>
              </w:rPr>
              <w:t>.</w:t>
            </w:r>
            <w:r w:rsidRPr="00C225BE">
              <w:rPr>
                <w:rFonts w:asciiTheme="minorHAnsi" w:eastAsia="Arial" w:hAnsiTheme="minorHAnsi" w:cs="Arial"/>
                <w:sz w:val="24"/>
                <w:szCs w:val="24"/>
              </w:rPr>
              <w:br/>
              <w:t xml:space="preserve">  UHC dissemination is now being integrated under a broader Public Participation Framework, aligning all health outreach, feedback, and civic engagement into a unified, cross-sector mechanism.</w:t>
            </w:r>
          </w:p>
        </w:tc>
      </w:tr>
      <w:tr w:rsidR="00D04F94" w:rsidRPr="00C225BE" w14:paraId="0028B8AD" w14:textId="77777777">
        <w:trPr>
          <w:trHeight w:val="163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A19F2C" w14:textId="77777777" w:rsidR="00D04F94" w:rsidRPr="00C225BE" w:rsidRDefault="00D04F94">
            <w:pPr>
              <w:rPr>
                <w:rFonts w:asciiTheme="minorHAnsi" w:eastAsia="Arial" w:hAnsiTheme="minorHAnsi" w:cs="Arial"/>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0764241E" w14:textId="77777777" w:rsidR="00D04F94" w:rsidRPr="00C225BE" w:rsidRDefault="00D04F94">
            <w:pPr>
              <w:rPr>
                <w:rFonts w:asciiTheme="minorHAnsi" w:eastAsia="Arial" w:hAnsiTheme="minorHAnsi" w:cs="Arial"/>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27CA512A" w14:textId="77777777" w:rsidR="00D04F94" w:rsidRPr="00C225BE" w:rsidRDefault="00000000">
            <w:pPr>
              <w:spacing w:after="0"/>
              <w:jc w:val="both"/>
              <w:rPr>
                <w:rFonts w:asciiTheme="minorHAnsi" w:eastAsia="Arial" w:hAnsiTheme="minorHAnsi" w:cs="Arial"/>
                <w:sz w:val="24"/>
                <w:szCs w:val="24"/>
              </w:rPr>
            </w:pPr>
            <w:r w:rsidRPr="00C225BE">
              <w:rPr>
                <w:rFonts w:asciiTheme="minorHAnsi" w:eastAsia="Arial" w:hAnsiTheme="minorHAnsi" w:cs="Arial"/>
                <w:sz w:val="24"/>
                <w:szCs w:val="24"/>
              </w:rPr>
              <w:t>Group 2</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17988FED" w14:textId="77777777" w:rsidR="00D04F94" w:rsidRPr="00C225BE" w:rsidRDefault="00000000">
            <w:pPr>
              <w:spacing w:after="0"/>
              <w:jc w:val="both"/>
              <w:rPr>
                <w:rFonts w:asciiTheme="minorHAnsi" w:eastAsia="Arial" w:hAnsiTheme="minorHAnsi" w:cs="Arial"/>
                <w:sz w:val="24"/>
                <w:szCs w:val="24"/>
              </w:rPr>
            </w:pPr>
            <w:r w:rsidRPr="00C225BE">
              <w:rPr>
                <w:rFonts w:asciiTheme="minorHAnsi" w:eastAsia="Arial" w:hAnsiTheme="minorHAnsi" w:cs="Arial"/>
                <w:sz w:val="24"/>
                <w:szCs w:val="24"/>
              </w:rPr>
              <w:t>The County Executive Committee Member for Health approves the development of a health procurement strategy to improve service delivery in the Sector by 30</w:t>
            </w:r>
            <w:r w:rsidRPr="00C225BE">
              <w:rPr>
                <w:rFonts w:asciiTheme="minorHAnsi" w:eastAsia="Arial" w:hAnsiTheme="minorHAnsi" w:cs="Arial"/>
                <w:sz w:val="24"/>
                <w:szCs w:val="24"/>
                <w:vertAlign w:val="superscript"/>
              </w:rPr>
              <w:t>th</w:t>
            </w:r>
            <w:r w:rsidRPr="00C225BE">
              <w:rPr>
                <w:rFonts w:asciiTheme="minorHAnsi" w:eastAsia="Arial" w:hAnsiTheme="minorHAnsi" w:cs="Arial"/>
                <w:sz w:val="24"/>
                <w:szCs w:val="24"/>
              </w:rPr>
              <w:t xml:space="preserve"> March 2025.</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52D63E81" w14:textId="77777777" w:rsidR="00D04F94" w:rsidRPr="00C225BE" w:rsidRDefault="00000000">
            <w:pPr>
              <w:spacing w:after="0"/>
              <w:jc w:val="both"/>
              <w:rPr>
                <w:rFonts w:asciiTheme="minorHAnsi" w:eastAsia="Arial" w:hAnsiTheme="minorHAnsi" w:cs="Arial"/>
                <w:sz w:val="24"/>
                <w:szCs w:val="24"/>
              </w:rPr>
            </w:pPr>
            <w:r w:rsidRPr="00C225BE">
              <w:rPr>
                <w:rFonts w:asciiTheme="minorHAnsi" w:eastAsia="Arial" w:hAnsiTheme="minorHAnsi" w:cs="Arial"/>
                <w:sz w:val="24"/>
                <w:szCs w:val="24"/>
              </w:rPr>
              <w:t>Not yet been achieved because key stakeholders are developing the Health Procurement Strategy before formal approval by the CECM Health Services.</w:t>
            </w:r>
          </w:p>
        </w:tc>
      </w:tr>
      <w:tr w:rsidR="00D04F94" w:rsidRPr="00C225BE" w14:paraId="08AADCF2" w14:textId="77777777">
        <w:trPr>
          <w:trHeight w:val="391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418836" w14:textId="77777777" w:rsidR="00D04F94" w:rsidRPr="00C225BE" w:rsidRDefault="00D04F94">
            <w:pPr>
              <w:rPr>
                <w:rFonts w:asciiTheme="minorHAnsi" w:eastAsia="Arial" w:hAnsiTheme="minorHAnsi" w:cs="Arial"/>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2E133E69" w14:textId="77777777" w:rsidR="00D04F94" w:rsidRPr="00C225BE" w:rsidRDefault="00D04F94">
            <w:pPr>
              <w:rPr>
                <w:rFonts w:asciiTheme="minorHAnsi" w:eastAsia="Arial" w:hAnsiTheme="minorHAnsi" w:cs="Arial"/>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334E0C40" w14:textId="77777777" w:rsidR="00D04F94" w:rsidRPr="00C225BE" w:rsidRDefault="00000000">
            <w:pPr>
              <w:spacing w:after="0"/>
              <w:jc w:val="both"/>
              <w:rPr>
                <w:rFonts w:asciiTheme="minorHAnsi" w:eastAsia="Arial" w:hAnsiTheme="minorHAnsi" w:cs="Arial"/>
                <w:sz w:val="24"/>
                <w:szCs w:val="24"/>
              </w:rPr>
            </w:pPr>
            <w:r w:rsidRPr="00C225BE">
              <w:rPr>
                <w:rFonts w:asciiTheme="minorHAnsi" w:eastAsia="Arial" w:hAnsiTheme="minorHAnsi" w:cs="Arial"/>
                <w:sz w:val="24"/>
                <w:szCs w:val="24"/>
              </w:rPr>
              <w:t>Group 3</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5438BF60" w14:textId="77777777" w:rsidR="00D04F94" w:rsidRPr="00C225BE" w:rsidRDefault="00000000">
            <w:pPr>
              <w:spacing w:after="0"/>
              <w:jc w:val="both"/>
              <w:rPr>
                <w:rFonts w:asciiTheme="minorHAnsi" w:eastAsia="Arial" w:hAnsiTheme="minorHAnsi" w:cs="Arial"/>
                <w:sz w:val="24"/>
                <w:szCs w:val="24"/>
              </w:rPr>
            </w:pPr>
            <w:r w:rsidRPr="00C225BE">
              <w:rPr>
                <w:rFonts w:asciiTheme="minorHAnsi" w:eastAsia="Arial" w:hAnsiTheme="minorHAnsi" w:cs="Arial"/>
                <w:sz w:val="24"/>
                <w:szCs w:val="24"/>
              </w:rPr>
              <w:t xml:space="preserve">The CECM, Health Services approves the formulation of a task force to streamline inclusive and equitable Sexual and Reproductive Health Rights for women living with disability by January 2025. </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2012B4B2" w14:textId="77777777" w:rsidR="00D04F94" w:rsidRPr="00C225BE" w:rsidRDefault="00000000">
            <w:pPr>
              <w:spacing w:after="0"/>
              <w:jc w:val="both"/>
              <w:rPr>
                <w:rFonts w:asciiTheme="minorHAnsi" w:eastAsia="Arial" w:hAnsiTheme="minorHAnsi" w:cs="Arial"/>
                <w:sz w:val="24"/>
                <w:szCs w:val="24"/>
              </w:rPr>
            </w:pPr>
            <w:r w:rsidRPr="00C225BE">
              <w:rPr>
                <w:rFonts w:asciiTheme="minorHAnsi" w:eastAsia="Arial" w:hAnsiTheme="minorHAnsi" w:cs="Arial"/>
                <w:sz w:val="24"/>
                <w:szCs w:val="24"/>
              </w:rPr>
              <w:t xml:space="preserve">The CECM, Health Services approved formation of the SRHR Task Force to promote inclusion for women with disabilities. This aligns with the Kakamega County Persons with Disabilities Act, 2022, which mandates equal access to health services. While the task force has been formed and initial consultations held, the </w:t>
            </w:r>
            <w:r w:rsidRPr="00C225BE">
              <w:rPr>
                <w:rFonts w:asciiTheme="minorHAnsi" w:eastAsia="Arial" w:hAnsiTheme="minorHAnsi" w:cs="Arial"/>
                <w:sz w:val="24"/>
                <w:szCs w:val="24"/>
              </w:rPr>
              <w:lastRenderedPageBreak/>
              <w:t>department is now expected to fully operationalize the Act by implementing the SRHR inclusion framework across all health programs.</w:t>
            </w:r>
          </w:p>
        </w:tc>
      </w:tr>
      <w:tr w:rsidR="00D04F94" w:rsidRPr="00C225BE" w14:paraId="7E65E2F5" w14:textId="77777777">
        <w:trPr>
          <w:trHeight w:val="418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EADFF2" w14:textId="77777777" w:rsidR="00D04F94" w:rsidRPr="00C225BE" w:rsidRDefault="00D04F94">
            <w:pPr>
              <w:rPr>
                <w:rFonts w:asciiTheme="minorHAnsi" w:eastAsia="Arial" w:hAnsiTheme="minorHAnsi" w:cs="Arial"/>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569E0AF3" w14:textId="77777777" w:rsidR="00D04F94" w:rsidRPr="00C225BE" w:rsidRDefault="00D04F94">
            <w:pPr>
              <w:rPr>
                <w:rFonts w:asciiTheme="minorHAnsi" w:eastAsia="Arial" w:hAnsiTheme="minorHAnsi" w:cs="Arial"/>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0816E36C" w14:textId="77777777" w:rsidR="00D04F94" w:rsidRPr="00C225BE" w:rsidRDefault="00000000">
            <w:pPr>
              <w:spacing w:after="0"/>
              <w:jc w:val="both"/>
              <w:rPr>
                <w:rFonts w:asciiTheme="minorHAnsi" w:eastAsia="Arial" w:hAnsiTheme="minorHAnsi" w:cs="Arial"/>
                <w:sz w:val="24"/>
                <w:szCs w:val="24"/>
              </w:rPr>
            </w:pPr>
            <w:r w:rsidRPr="00C225BE">
              <w:rPr>
                <w:rFonts w:asciiTheme="minorHAnsi" w:eastAsia="Arial" w:hAnsiTheme="minorHAnsi" w:cs="Arial"/>
                <w:sz w:val="24"/>
                <w:szCs w:val="24"/>
              </w:rPr>
              <w:t>Group 4</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711F6339" w14:textId="77777777" w:rsidR="00D04F94" w:rsidRPr="00C225BE" w:rsidRDefault="00000000">
            <w:pPr>
              <w:spacing w:after="0"/>
              <w:jc w:val="both"/>
              <w:rPr>
                <w:rFonts w:asciiTheme="minorHAnsi" w:eastAsia="Arial" w:hAnsiTheme="minorHAnsi" w:cs="Arial"/>
                <w:sz w:val="24"/>
                <w:szCs w:val="24"/>
              </w:rPr>
            </w:pPr>
            <w:r w:rsidRPr="00C225BE">
              <w:rPr>
                <w:rFonts w:asciiTheme="minorHAnsi" w:eastAsia="Arial" w:hAnsiTheme="minorHAnsi" w:cs="Arial"/>
                <w:sz w:val="24"/>
                <w:szCs w:val="24"/>
              </w:rPr>
              <w:t>The County CECM Health Department to streamline a formal directive that guarantees HFMCs are fully activated in all health facilities by June 2025.</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5C2E7C5D" w14:textId="77777777" w:rsidR="00D04F94" w:rsidRPr="00C225BE" w:rsidRDefault="00000000">
            <w:pPr>
              <w:spacing w:after="0"/>
              <w:jc w:val="both"/>
              <w:rPr>
                <w:rFonts w:asciiTheme="minorHAnsi" w:eastAsia="Arial" w:hAnsiTheme="minorHAnsi" w:cs="Arial"/>
                <w:sz w:val="24"/>
                <w:szCs w:val="24"/>
              </w:rPr>
            </w:pPr>
            <w:r w:rsidRPr="00C225BE">
              <w:rPr>
                <w:rFonts w:asciiTheme="minorHAnsi" w:eastAsia="Arial" w:hAnsiTheme="minorHAnsi" w:cs="Arial"/>
                <w:sz w:val="24"/>
                <w:szCs w:val="24"/>
              </w:rPr>
              <w:t>The County Health Department successfully advertised The HFMC positions late 2024, conducted transparent elections, and constituted committees in nearly all health facilities in mid-2025. The next phase focuses on strengthening functionality formalizing meeting schedules, documentation, and linkage with facility management teams to ensure that HFMCs are not only activated but also effectively contributing to service delivery, oversight, and community engagement.</w:t>
            </w:r>
          </w:p>
        </w:tc>
      </w:tr>
      <w:tr w:rsidR="00D04F94" w:rsidRPr="00C225BE" w14:paraId="4CB5F040" w14:textId="77777777">
        <w:trPr>
          <w:trHeight w:val="1320"/>
        </w:trPr>
        <w:tc>
          <w:tcPr>
            <w:tcW w:w="608"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5C0D5C7"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t>2</w:t>
            </w:r>
          </w:p>
        </w:tc>
        <w:tc>
          <w:tcPr>
            <w:tcW w:w="1180" w:type="dxa"/>
            <w:vMerge w:val="restart"/>
            <w:tcBorders>
              <w:top w:val="nil"/>
              <w:left w:val="nil"/>
              <w:bottom w:val="single" w:sz="8" w:space="0" w:color="000000"/>
              <w:right w:val="single" w:sz="8" w:space="0" w:color="000000"/>
            </w:tcBorders>
            <w:tcMar>
              <w:top w:w="0" w:type="dxa"/>
              <w:left w:w="100" w:type="dxa"/>
              <w:bottom w:w="0" w:type="dxa"/>
              <w:right w:w="100" w:type="dxa"/>
            </w:tcMar>
          </w:tcPr>
          <w:p w14:paraId="71D60809"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Kilifi</w:t>
            </w: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3AFF2BD1"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1</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6A40D627"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CECM Health Allocates 15% of Health Budget to RMNCAH Services in financial year 2025/2026. </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54647F37"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Not yet implemented. The Kilifi County Civil Society Network is still following up with the decision maker.</w:t>
            </w:r>
          </w:p>
          <w:p w14:paraId="2E715426"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lastRenderedPageBreak/>
              <w:t xml:space="preserve"> </w:t>
            </w:r>
          </w:p>
        </w:tc>
      </w:tr>
      <w:tr w:rsidR="00D04F94" w:rsidRPr="00C225BE" w14:paraId="45CD08E6" w14:textId="77777777">
        <w:trPr>
          <w:trHeight w:val="157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CE94CC"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622F563C"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4D0C2D03"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2</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6727B789"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To advocate for the procurement and installation of an operational CT scan machine at Kilifi Referral hospital to enhance diagnostic capacity and improve patient outcomes by 2025.</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79B8EEBD"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Kilifi Referral hospital procured the CT scan and it's now in operation.</w:t>
            </w:r>
          </w:p>
          <w:p w14:paraId="46ABBF0C"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tc>
      </w:tr>
      <w:tr w:rsidR="00D04F94" w:rsidRPr="00C225BE" w14:paraId="71D9F7E5" w14:textId="77777777">
        <w:trPr>
          <w:trHeight w:val="2100"/>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DB3BB7"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268EC55B"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4E3600C9"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3</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08C8F8DD"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By September 2025, Kilifi County Government to operationalize </w:t>
            </w:r>
            <w:proofErr w:type="spellStart"/>
            <w:r w:rsidRPr="00C225BE">
              <w:rPr>
                <w:rFonts w:asciiTheme="minorHAnsi" w:hAnsiTheme="minorHAnsi"/>
                <w:sz w:val="24"/>
                <w:szCs w:val="24"/>
              </w:rPr>
              <w:t>Pingilikani</w:t>
            </w:r>
            <w:proofErr w:type="spellEnd"/>
            <w:r w:rsidRPr="00C225BE">
              <w:rPr>
                <w:rFonts w:asciiTheme="minorHAnsi" w:hAnsiTheme="minorHAnsi"/>
                <w:sz w:val="24"/>
                <w:szCs w:val="24"/>
              </w:rPr>
              <w:t xml:space="preserve"> dispensary maternity wing using the allocated 5 million KES, to increase the number of safe deliveries by 50%. </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20FFE199"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In the Program Based Budget (PBB) for financial year 2025/2026, Vote Head 3110202 completion of </w:t>
            </w:r>
            <w:proofErr w:type="spellStart"/>
            <w:r w:rsidRPr="00C225BE">
              <w:rPr>
                <w:rFonts w:asciiTheme="minorHAnsi" w:hAnsiTheme="minorHAnsi"/>
                <w:sz w:val="24"/>
                <w:szCs w:val="24"/>
              </w:rPr>
              <w:t>Pingilikani</w:t>
            </w:r>
            <w:proofErr w:type="spellEnd"/>
            <w:r w:rsidRPr="00C225BE">
              <w:rPr>
                <w:rFonts w:asciiTheme="minorHAnsi" w:hAnsiTheme="minorHAnsi"/>
                <w:sz w:val="24"/>
                <w:szCs w:val="24"/>
              </w:rPr>
              <w:t xml:space="preserve"> Dispensary Maternity wing in </w:t>
            </w:r>
            <w:proofErr w:type="spellStart"/>
            <w:r w:rsidRPr="00C225BE">
              <w:rPr>
                <w:rFonts w:asciiTheme="minorHAnsi" w:hAnsiTheme="minorHAnsi"/>
                <w:sz w:val="24"/>
                <w:szCs w:val="24"/>
              </w:rPr>
              <w:t>Mwarakaya</w:t>
            </w:r>
            <w:proofErr w:type="spellEnd"/>
            <w:r w:rsidRPr="00C225BE">
              <w:rPr>
                <w:rFonts w:asciiTheme="minorHAnsi" w:hAnsiTheme="minorHAnsi"/>
                <w:sz w:val="24"/>
                <w:szCs w:val="24"/>
              </w:rPr>
              <w:t xml:space="preserve"> ward was allocated </w:t>
            </w:r>
            <w:proofErr w:type="spellStart"/>
            <w:r w:rsidRPr="00C225BE">
              <w:rPr>
                <w:rFonts w:asciiTheme="minorHAnsi" w:hAnsiTheme="minorHAnsi"/>
                <w:sz w:val="24"/>
                <w:szCs w:val="24"/>
              </w:rPr>
              <w:t>Kshs</w:t>
            </w:r>
            <w:proofErr w:type="spellEnd"/>
            <w:r w:rsidRPr="00C225BE">
              <w:rPr>
                <w:rFonts w:asciiTheme="minorHAnsi" w:hAnsiTheme="minorHAnsi"/>
                <w:sz w:val="24"/>
                <w:szCs w:val="24"/>
              </w:rPr>
              <w:t xml:space="preserve"> 8,000,000.</w:t>
            </w:r>
          </w:p>
          <w:p w14:paraId="137E5D9C"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tc>
      </w:tr>
      <w:tr w:rsidR="00D04F94" w:rsidRPr="00C225BE" w14:paraId="7896DDDD" w14:textId="77777777">
        <w:trPr>
          <w:trHeight w:val="184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07FE4E"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17B3E8C1"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6BF4F599"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4</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2F7EE558"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The Governor to approve resources for completion, equipping, staffing and operationalization of Milalani Dispensary by June 2025. </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32313710" w14:textId="77777777" w:rsidR="00D04F94" w:rsidRPr="00C225BE" w:rsidRDefault="00000000">
            <w:pPr>
              <w:spacing w:after="0"/>
              <w:jc w:val="both"/>
              <w:rPr>
                <w:rFonts w:asciiTheme="minorHAnsi" w:hAnsiTheme="minorHAnsi"/>
                <w:sz w:val="24"/>
                <w:szCs w:val="24"/>
              </w:rPr>
            </w:pPr>
            <w:proofErr w:type="spellStart"/>
            <w:r w:rsidRPr="00C225BE">
              <w:rPr>
                <w:rFonts w:asciiTheme="minorHAnsi" w:hAnsiTheme="minorHAnsi"/>
                <w:sz w:val="24"/>
                <w:szCs w:val="24"/>
              </w:rPr>
              <w:t>Kshs</w:t>
            </w:r>
            <w:proofErr w:type="spellEnd"/>
            <w:r w:rsidRPr="00C225BE">
              <w:rPr>
                <w:rFonts w:asciiTheme="minorHAnsi" w:hAnsiTheme="minorHAnsi"/>
                <w:sz w:val="24"/>
                <w:szCs w:val="24"/>
              </w:rPr>
              <w:t xml:space="preserve"> 2,000,000 was allocated for the completion of Milalani Dispensary. Waiting for the contracting stage to be completed so that the contractor is handed over to the site.</w:t>
            </w:r>
          </w:p>
          <w:p w14:paraId="251A2F57"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tc>
      </w:tr>
      <w:tr w:rsidR="00D04F94" w:rsidRPr="00C225BE" w14:paraId="56B33574" w14:textId="77777777">
        <w:trPr>
          <w:trHeight w:val="1320"/>
        </w:trPr>
        <w:tc>
          <w:tcPr>
            <w:tcW w:w="608"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ECA6F81"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t>3</w:t>
            </w:r>
          </w:p>
        </w:tc>
        <w:tc>
          <w:tcPr>
            <w:tcW w:w="1180" w:type="dxa"/>
            <w:vMerge w:val="restart"/>
            <w:tcBorders>
              <w:top w:val="nil"/>
              <w:left w:val="nil"/>
              <w:bottom w:val="single" w:sz="8" w:space="0" w:color="000000"/>
              <w:right w:val="single" w:sz="8" w:space="0" w:color="000000"/>
            </w:tcBorders>
            <w:tcMar>
              <w:top w:w="0" w:type="dxa"/>
              <w:left w:w="100" w:type="dxa"/>
              <w:bottom w:w="0" w:type="dxa"/>
              <w:right w:w="100" w:type="dxa"/>
            </w:tcMar>
          </w:tcPr>
          <w:p w14:paraId="47248A65"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Kisumu</w:t>
            </w: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5FDE190F"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1</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66744284"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Chief Officer, Public Health and Sanitation to approve an increase of 10% for the RMNCAH+N budget by June 2026.</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1528BBA4"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CSO representatives have had a meeting with the members of the Kisumu County Assembly to discuss how MCAs can </w:t>
            </w:r>
            <w:r w:rsidRPr="00C225BE">
              <w:rPr>
                <w:rFonts w:asciiTheme="minorHAnsi" w:hAnsiTheme="minorHAnsi"/>
                <w:sz w:val="24"/>
                <w:szCs w:val="24"/>
              </w:rPr>
              <w:lastRenderedPageBreak/>
              <w:t>support the increment of the budget.</w:t>
            </w:r>
          </w:p>
        </w:tc>
      </w:tr>
      <w:tr w:rsidR="00D04F94" w:rsidRPr="00C225BE" w14:paraId="23DEAE61" w14:textId="77777777">
        <w:trPr>
          <w:trHeight w:val="184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1689CB"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5FB104BD"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250FB841"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2</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671C572C"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CECM medical services, public health and sanitation to institute County technical writing committee to review and adopt the 3 test HIV. Diagnosis strategy for Kisumu County by December 2024</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454930B7"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During the world contraceptive day, the CECM Medical services, public health and sanitation highlighted the importance of 3 test HIV diagnosis strategy and urged partners to support the initiative.</w:t>
            </w:r>
          </w:p>
        </w:tc>
      </w:tr>
      <w:tr w:rsidR="00D04F94" w:rsidRPr="00C225BE" w14:paraId="3AB7E5E2" w14:textId="77777777">
        <w:trPr>
          <w:trHeight w:val="157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D4872C"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645264D8"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47F3A5B5"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3</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6928F887"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committee of social, gender and youth affairs reviews the SGBV policy 2019, by June 2026.</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63D342D6"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department of Social, Gender and Youth Affairs convened a meeting with CSOs in July 2025 Changes noted will be communicated to the relevant authorities.</w:t>
            </w:r>
          </w:p>
        </w:tc>
      </w:tr>
      <w:tr w:rsidR="00D04F94" w:rsidRPr="00C225BE" w14:paraId="410D846A" w14:textId="77777777">
        <w:trPr>
          <w:trHeight w:val="1320"/>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FAD649"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20FB776D"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6A216052"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4</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1D790DD2"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County executive committee (CECM) member of Health to allocate budget increase by 20% for the HIV program in the 2025/2026 Financial year</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4813F792"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Not yet achieved, being followed up.</w:t>
            </w:r>
          </w:p>
        </w:tc>
      </w:tr>
      <w:tr w:rsidR="00D04F94" w:rsidRPr="00C225BE" w14:paraId="3078BC57" w14:textId="77777777">
        <w:trPr>
          <w:trHeight w:val="6525"/>
        </w:trPr>
        <w:tc>
          <w:tcPr>
            <w:tcW w:w="608"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E9DB152"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lastRenderedPageBreak/>
              <w:t>4</w:t>
            </w:r>
          </w:p>
        </w:tc>
        <w:tc>
          <w:tcPr>
            <w:tcW w:w="1180" w:type="dxa"/>
            <w:vMerge w:val="restart"/>
            <w:tcBorders>
              <w:top w:val="nil"/>
              <w:left w:val="nil"/>
              <w:bottom w:val="single" w:sz="8" w:space="0" w:color="000000"/>
              <w:right w:val="single" w:sz="8" w:space="0" w:color="000000"/>
            </w:tcBorders>
            <w:tcMar>
              <w:top w:w="0" w:type="dxa"/>
              <w:left w:w="100" w:type="dxa"/>
              <w:bottom w:w="0" w:type="dxa"/>
              <w:right w:w="100" w:type="dxa"/>
            </w:tcMar>
          </w:tcPr>
          <w:p w14:paraId="42A87653"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Kitui</w:t>
            </w: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53D01855"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1</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714247F9"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County Executive Committee Member of Health and Sanitation to ensure that Kitui County Referral Hospital and Mwingi Level</w:t>
            </w:r>
          </w:p>
          <w:p w14:paraId="16D00628"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IV Hospital are fully equipped with essential laboratory services including diagnostic equipment and trained personnel by end of</w:t>
            </w:r>
          </w:p>
          <w:p w14:paraId="4588F92F"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FY 2024/2025</w:t>
            </w:r>
          </w:p>
          <w:p w14:paraId="32CC52F2"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p w14:paraId="6396E3B5"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2EAA6FC5"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Both Kitui County Referral Hospital (KCRH) and Mwingi Level IV Hospital are currently providing essential laboratory services. However, due to the high patient load at KCRH, the Department of Health and Sanitation opted to contract </w:t>
            </w:r>
            <w:proofErr w:type="spellStart"/>
            <w:r w:rsidRPr="00C225BE">
              <w:rPr>
                <w:rFonts w:asciiTheme="minorHAnsi" w:hAnsiTheme="minorHAnsi"/>
                <w:sz w:val="24"/>
                <w:szCs w:val="24"/>
              </w:rPr>
              <w:t>Muthale</w:t>
            </w:r>
            <w:proofErr w:type="spellEnd"/>
            <w:r w:rsidRPr="00C225BE">
              <w:rPr>
                <w:rFonts w:asciiTheme="minorHAnsi" w:hAnsiTheme="minorHAnsi"/>
                <w:sz w:val="24"/>
                <w:szCs w:val="24"/>
              </w:rPr>
              <w:t xml:space="preserve"> Mission Satellite Hospital, a faith-based facility, to offer the same laboratory services at comparable rates, helping to decongest KCRH and enhance service accessibility.</w:t>
            </w:r>
          </w:p>
          <w:p w14:paraId="5B8EAA50"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p w14:paraId="0B289F6D"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During the Public Participation Forums for the FY 2025/2026 Budget Estimates, the Chief Officer for Medical Supplies, confirmed that both hospitals have procured previously unavailable essential laboratory equipment, thereby strengthening diagnostic capacity and improving the quality of health service delivery in the county.</w:t>
            </w:r>
          </w:p>
        </w:tc>
      </w:tr>
      <w:tr w:rsidR="00D04F94" w:rsidRPr="00C225BE" w14:paraId="4047C5AA" w14:textId="77777777">
        <w:trPr>
          <w:trHeight w:val="2880"/>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DE21BC"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3EC0F1C1"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0B074565"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2</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30FDE3B9"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CECM Health and Sanitation, County Government of Kitui to ensure a 10% increase of the budgetary allocation for medicines and pharmaceuticals supply in Kitui County in the existing health budget FY 2025/2026</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1715F43F"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In the FY2025/2026 Kitui County budget estimates, the county government allocated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416,000,000 toward the procurement of pharmaceutical medical items, dressings, and other non-pharmaceutical supplies. This represents 10% of the total ministry of health and sanitation budget, which stands at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4,042,550,959</w:t>
            </w:r>
          </w:p>
        </w:tc>
      </w:tr>
      <w:tr w:rsidR="00D04F94" w:rsidRPr="00C225BE" w14:paraId="2B0723C5" w14:textId="77777777">
        <w:trPr>
          <w:trHeight w:val="391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76EE1D"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1999A2D5"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3608861E"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3</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000E0458"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CECM Health to ensure 85% drug sufficiency and emergency medical supplies in all Kitui County government health facilities by the end of FY 2024/2025.</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34C95679"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Despite the over 10% allocation to drugs and medical supplies, drug sufficiency levels remain below the targeted 85%, primarily due to delays in disbursement of funds from both the national and county exchequers, which have affected timely procurement and distribution. Additionally, the slow adoption and operationalization of the Facility Improvement Fund (FIF) Act has limited health facilities’ autonomy to manage and replenish medical supplies promptly.</w:t>
            </w:r>
          </w:p>
        </w:tc>
      </w:tr>
      <w:tr w:rsidR="00D04F94" w:rsidRPr="00C225BE" w14:paraId="44BB452A" w14:textId="77777777">
        <w:trPr>
          <w:trHeight w:val="547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F40C71"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6C8E16A7"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2207E913"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4</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248540AA"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The County CECM health institutes a PWD Liaison Desk in all level 4 and 5 health facilities in Kitui County by end of FY 2024/25.</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270E8D88"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Progress toward this objective remains partial. While the County Government of Kitui has not yet established dedicated PWD Liaison Desks as envisioned, it has made initial strides by installing Customer Service Desks across major health facilities, including Level 4 and 5 hospitals. These desks serve as central points for patient assistance and feedback management.</w:t>
            </w:r>
          </w:p>
          <w:p w14:paraId="745850BA"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p w14:paraId="7B1DE3DB"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However, the customer service attendants have not received specialized training on disability inclusion and responsive service delivery to PWDs, limiting the effectiveness of these desks in addressing the unique needs of persons with disabilities.</w:t>
            </w:r>
          </w:p>
        </w:tc>
      </w:tr>
      <w:tr w:rsidR="00D04F94" w:rsidRPr="00C225BE" w14:paraId="3EF86057" w14:textId="77777777">
        <w:trPr>
          <w:trHeight w:val="1845"/>
        </w:trPr>
        <w:tc>
          <w:tcPr>
            <w:tcW w:w="608"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F5938CB"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t>5</w:t>
            </w:r>
          </w:p>
        </w:tc>
        <w:tc>
          <w:tcPr>
            <w:tcW w:w="1180" w:type="dxa"/>
            <w:vMerge w:val="restart"/>
            <w:tcBorders>
              <w:top w:val="nil"/>
              <w:left w:val="nil"/>
              <w:bottom w:val="single" w:sz="8" w:space="0" w:color="000000"/>
              <w:right w:val="single" w:sz="8" w:space="0" w:color="000000"/>
            </w:tcBorders>
            <w:tcMar>
              <w:top w:w="0" w:type="dxa"/>
              <w:left w:w="100" w:type="dxa"/>
              <w:bottom w:w="0" w:type="dxa"/>
              <w:right w:w="100" w:type="dxa"/>
            </w:tcMar>
          </w:tcPr>
          <w:p w14:paraId="7CE4AA18"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Laikipia</w:t>
            </w: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6B5E5F90"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1</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1E851977"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By June 2025, the Laikipia County Government to approve an allocation of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1,000,000 for PWDs in the FY 2025/2026 budget and the County Assembly to operationalize and institutionalize the PWD Act 2023.</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732EB156"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The County Government of Laikipia in the approved budget FY2025/26, allocated </w:t>
            </w:r>
            <w:proofErr w:type="spellStart"/>
            <w:r w:rsidRPr="00C225BE">
              <w:rPr>
                <w:rFonts w:asciiTheme="minorHAnsi" w:hAnsiTheme="minorHAnsi"/>
                <w:sz w:val="24"/>
                <w:szCs w:val="24"/>
              </w:rPr>
              <w:t>Kshs</w:t>
            </w:r>
            <w:proofErr w:type="spellEnd"/>
            <w:r w:rsidRPr="00C225BE">
              <w:rPr>
                <w:rFonts w:asciiTheme="minorHAnsi" w:hAnsiTheme="minorHAnsi"/>
                <w:sz w:val="24"/>
                <w:szCs w:val="24"/>
              </w:rPr>
              <w:t xml:space="preserve"> 400,000 in the sub program for Persons with Disability Program.</w:t>
            </w:r>
          </w:p>
          <w:p w14:paraId="6156188A"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tc>
      </w:tr>
      <w:tr w:rsidR="00D04F94" w:rsidRPr="00C225BE" w14:paraId="16485C60" w14:textId="77777777">
        <w:trPr>
          <w:trHeight w:val="184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94CD42"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3C934D25"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7A035B0E"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2</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6DC92763"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By June 2025, the Laikipia County Government to approve a youth empowerment budget increasing funding from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350,000 to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4,000,000 for FY 2025/2026, and by January 2026, to formulate and approve a Laikipia Youth Policy</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58F8F22E"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The County Government of Laikipia approved </w:t>
            </w:r>
            <w:proofErr w:type="spellStart"/>
            <w:r w:rsidRPr="00C225BE">
              <w:rPr>
                <w:rFonts w:asciiTheme="minorHAnsi" w:hAnsiTheme="minorHAnsi"/>
                <w:sz w:val="24"/>
                <w:szCs w:val="24"/>
              </w:rPr>
              <w:t>Kshs</w:t>
            </w:r>
            <w:proofErr w:type="spellEnd"/>
            <w:r w:rsidRPr="00C225BE">
              <w:rPr>
                <w:rFonts w:asciiTheme="minorHAnsi" w:hAnsiTheme="minorHAnsi"/>
                <w:sz w:val="24"/>
                <w:szCs w:val="24"/>
              </w:rPr>
              <w:t xml:space="preserve"> 200,000 in the FY2025/26 budget for Youth groups mentorship and empowerment programs.</w:t>
            </w:r>
          </w:p>
          <w:p w14:paraId="616FBA3B"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tc>
      </w:tr>
      <w:tr w:rsidR="00D04F94" w:rsidRPr="00C225BE" w14:paraId="5B0FEDD3" w14:textId="77777777">
        <w:trPr>
          <w:trHeight w:val="262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0C9AC6"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0B9A9E36"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45B42FE5"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3</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2C9E3976"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By June 2025, the Laikipia County Government to approve a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7,000,000 health budget for a fully equipped ambulance for Laikipia North (</w:t>
            </w:r>
            <w:proofErr w:type="spellStart"/>
            <w:r w:rsidRPr="00C225BE">
              <w:rPr>
                <w:rFonts w:asciiTheme="minorHAnsi" w:hAnsiTheme="minorHAnsi"/>
                <w:sz w:val="24"/>
                <w:szCs w:val="24"/>
              </w:rPr>
              <w:t>Kimanjo</w:t>
            </w:r>
            <w:proofErr w:type="spellEnd"/>
            <w:r w:rsidRPr="00C225BE">
              <w:rPr>
                <w:rFonts w:asciiTheme="minorHAnsi" w:hAnsiTheme="minorHAnsi"/>
                <w:sz w:val="24"/>
                <w:szCs w:val="24"/>
              </w:rPr>
              <w:t xml:space="preserve"> Sub- County) for FY 2025/2026, and ensure the Laikipia County Health Sector Strategic Plan includes provision for efficient ambulance services each financial year</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4D0F3277"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New Ambulance bought and fully equipped in March 2025. There is also </w:t>
            </w:r>
            <w:proofErr w:type="spellStart"/>
            <w:r w:rsidRPr="00C225BE">
              <w:rPr>
                <w:rFonts w:asciiTheme="minorHAnsi" w:hAnsiTheme="minorHAnsi"/>
                <w:sz w:val="24"/>
                <w:szCs w:val="24"/>
              </w:rPr>
              <w:t>Kshs</w:t>
            </w:r>
            <w:proofErr w:type="spellEnd"/>
            <w:r w:rsidRPr="00C225BE">
              <w:rPr>
                <w:rFonts w:asciiTheme="minorHAnsi" w:hAnsiTheme="minorHAnsi"/>
                <w:sz w:val="24"/>
                <w:szCs w:val="24"/>
              </w:rPr>
              <w:t xml:space="preserve"> 9Million for operations and maintenance of the ambulance fleet in the approved Budget FY2025/26.</w:t>
            </w:r>
          </w:p>
        </w:tc>
      </w:tr>
      <w:tr w:rsidR="00D04F94" w:rsidRPr="00C225BE" w14:paraId="592FA595" w14:textId="77777777">
        <w:trPr>
          <w:trHeight w:val="157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D239564"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2926D9B9"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527B511E"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4</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5FE3CD9A"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By June 2025, Laikipia County Government to increase the CHP budget from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35,000,000 to </w:t>
            </w:r>
            <w:proofErr w:type="spellStart"/>
            <w:r w:rsidRPr="00C225BE">
              <w:rPr>
                <w:rFonts w:asciiTheme="minorHAnsi" w:hAnsiTheme="minorHAnsi"/>
                <w:sz w:val="24"/>
                <w:szCs w:val="24"/>
              </w:rPr>
              <w:t>Ksh</w:t>
            </w:r>
            <w:proofErr w:type="spellEnd"/>
            <w:r w:rsidRPr="00C225BE">
              <w:rPr>
                <w:rFonts w:asciiTheme="minorHAnsi" w:hAnsiTheme="minorHAnsi"/>
                <w:sz w:val="24"/>
                <w:szCs w:val="24"/>
              </w:rPr>
              <w:t xml:space="preserve"> 45,000,000 for FY 2025/2026.</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415387C1"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The County Government of Laikipia in the Approved Budget FY2025/26 allocated </w:t>
            </w:r>
            <w:proofErr w:type="spellStart"/>
            <w:r w:rsidRPr="00C225BE">
              <w:rPr>
                <w:rFonts w:asciiTheme="minorHAnsi" w:hAnsiTheme="minorHAnsi"/>
                <w:sz w:val="24"/>
                <w:szCs w:val="24"/>
              </w:rPr>
              <w:t>Kshs</w:t>
            </w:r>
            <w:proofErr w:type="spellEnd"/>
            <w:r w:rsidRPr="00C225BE">
              <w:rPr>
                <w:rFonts w:asciiTheme="minorHAnsi" w:hAnsiTheme="minorHAnsi"/>
                <w:sz w:val="24"/>
                <w:szCs w:val="24"/>
              </w:rPr>
              <w:t xml:space="preserve"> 36,000,000 for CHP Stipends and Support</w:t>
            </w:r>
          </w:p>
          <w:p w14:paraId="3C8BC5CA"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tc>
      </w:tr>
      <w:tr w:rsidR="00D04F94" w:rsidRPr="00C225BE" w14:paraId="3153AB9B" w14:textId="77777777">
        <w:trPr>
          <w:trHeight w:val="3405"/>
        </w:trPr>
        <w:tc>
          <w:tcPr>
            <w:tcW w:w="608"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3F01EBF" w14:textId="77777777" w:rsidR="00D04F94" w:rsidRPr="00C225BE" w:rsidRDefault="00000000">
            <w:pPr>
              <w:spacing w:after="0"/>
              <w:jc w:val="both"/>
              <w:rPr>
                <w:rFonts w:asciiTheme="minorHAnsi" w:eastAsia="Arial" w:hAnsiTheme="minorHAnsi" w:cs="Arial"/>
                <w:b/>
                <w:bCs/>
                <w:sz w:val="24"/>
                <w:szCs w:val="24"/>
              </w:rPr>
            </w:pPr>
            <w:r w:rsidRPr="00C225BE">
              <w:rPr>
                <w:rFonts w:asciiTheme="minorHAnsi" w:eastAsia="Arial" w:hAnsiTheme="minorHAnsi" w:cs="Arial"/>
                <w:b/>
                <w:bCs/>
                <w:sz w:val="24"/>
                <w:szCs w:val="24"/>
              </w:rPr>
              <w:lastRenderedPageBreak/>
              <w:t>6</w:t>
            </w:r>
          </w:p>
        </w:tc>
        <w:tc>
          <w:tcPr>
            <w:tcW w:w="1180" w:type="dxa"/>
            <w:tcBorders>
              <w:top w:val="nil"/>
              <w:left w:val="nil"/>
              <w:bottom w:val="single" w:sz="8" w:space="0" w:color="000000"/>
              <w:right w:val="single" w:sz="8" w:space="0" w:color="000000"/>
            </w:tcBorders>
            <w:tcMar>
              <w:top w:w="0" w:type="dxa"/>
              <w:left w:w="100" w:type="dxa"/>
              <w:bottom w:w="0" w:type="dxa"/>
              <w:right w:w="100" w:type="dxa"/>
            </w:tcMar>
          </w:tcPr>
          <w:p w14:paraId="7DD84226"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Nairobi</w:t>
            </w: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6C6EB7EB"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1</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6E92A5FC"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Increase percentage of Social Health Insurance Fund (SHIF) enrolment rate by 25% in Kasarani Subcounty by February 2026.</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0AF698E1"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A courtesy call was made to the Member of County Assembly (MCA) for Clay-City Ward to discuss the advocacy issue and foster political buy-in. The MCA expressed strong support and committed to convening a joint meeting with the Social Health Authority and the Kasarani Member of Parliament to facilitate the uptake and advancement of the issue, scheduled for November 2025.</w:t>
            </w:r>
          </w:p>
        </w:tc>
      </w:tr>
      <w:tr w:rsidR="00D04F94" w:rsidRPr="00C225BE" w14:paraId="6D8E0A1E" w14:textId="77777777">
        <w:trPr>
          <w:trHeight w:val="1320"/>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EB382A" w14:textId="77777777" w:rsidR="00D04F94" w:rsidRPr="00C225BE" w:rsidRDefault="00D04F94">
            <w:pPr>
              <w:rPr>
                <w:rFonts w:asciiTheme="minorHAnsi" w:hAnsiTheme="minorHAnsi"/>
                <w:sz w:val="24"/>
                <w:szCs w:val="24"/>
              </w:rPr>
            </w:pPr>
          </w:p>
        </w:tc>
        <w:tc>
          <w:tcPr>
            <w:tcW w:w="1180" w:type="dxa"/>
            <w:tcBorders>
              <w:top w:val="nil"/>
              <w:left w:val="nil"/>
              <w:bottom w:val="single" w:sz="8" w:space="0" w:color="000000"/>
              <w:right w:val="single" w:sz="8" w:space="0" w:color="000000"/>
            </w:tcBorders>
            <w:tcMar>
              <w:top w:w="0" w:type="dxa"/>
              <w:left w:w="100" w:type="dxa"/>
              <w:bottom w:w="0" w:type="dxa"/>
              <w:right w:w="100" w:type="dxa"/>
            </w:tcMar>
          </w:tcPr>
          <w:p w14:paraId="67D6A1CF"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 </w:t>
            </w: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300A7A76"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2</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1D08C8CD"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To increase public participation of community members on Universal Health Coverage (UCH) by 50% in </w:t>
            </w:r>
            <w:proofErr w:type="spellStart"/>
            <w:r w:rsidRPr="00C225BE">
              <w:rPr>
                <w:rFonts w:asciiTheme="minorHAnsi" w:hAnsiTheme="minorHAnsi"/>
                <w:sz w:val="24"/>
                <w:szCs w:val="24"/>
              </w:rPr>
              <w:t>Dagoretti</w:t>
            </w:r>
            <w:proofErr w:type="spellEnd"/>
            <w:r w:rsidRPr="00C225BE">
              <w:rPr>
                <w:rFonts w:asciiTheme="minorHAnsi" w:hAnsiTheme="minorHAnsi"/>
                <w:sz w:val="24"/>
                <w:szCs w:val="24"/>
              </w:rPr>
              <w:t xml:space="preserve"> South by December 2025</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750C2255"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An appointment has been booked with the Member of County Assembly (MCA) to discuss this initiative.</w:t>
            </w:r>
          </w:p>
        </w:tc>
      </w:tr>
      <w:tr w:rsidR="00D04F94" w:rsidRPr="00C225BE" w14:paraId="79112BF5" w14:textId="77777777">
        <w:trPr>
          <w:trHeight w:val="3135"/>
        </w:trPr>
        <w:tc>
          <w:tcPr>
            <w:tcW w:w="608"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D2708D2"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7</w:t>
            </w:r>
          </w:p>
        </w:tc>
        <w:tc>
          <w:tcPr>
            <w:tcW w:w="1180" w:type="dxa"/>
            <w:vMerge w:val="restart"/>
            <w:tcBorders>
              <w:top w:val="nil"/>
              <w:left w:val="nil"/>
              <w:bottom w:val="single" w:sz="8" w:space="0" w:color="000000"/>
              <w:right w:val="single" w:sz="8" w:space="0" w:color="000000"/>
            </w:tcBorders>
            <w:tcMar>
              <w:top w:w="0" w:type="dxa"/>
              <w:left w:w="100" w:type="dxa"/>
              <w:bottom w:w="0" w:type="dxa"/>
              <w:right w:w="100" w:type="dxa"/>
            </w:tcMar>
          </w:tcPr>
          <w:p w14:paraId="5D8A5E18" w14:textId="77777777" w:rsidR="00D04F94" w:rsidRPr="00C225BE" w:rsidRDefault="00000000">
            <w:pPr>
              <w:spacing w:after="0"/>
              <w:jc w:val="both"/>
              <w:rPr>
                <w:rFonts w:asciiTheme="minorHAnsi" w:hAnsiTheme="minorHAnsi"/>
                <w:sz w:val="24"/>
                <w:szCs w:val="24"/>
              </w:rPr>
            </w:pPr>
            <w:proofErr w:type="spellStart"/>
            <w:r w:rsidRPr="00C225BE">
              <w:rPr>
                <w:rFonts w:asciiTheme="minorHAnsi" w:hAnsiTheme="minorHAnsi"/>
                <w:sz w:val="24"/>
                <w:szCs w:val="24"/>
              </w:rPr>
              <w:t>Isiolo</w:t>
            </w:r>
            <w:proofErr w:type="spellEnd"/>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204897A9"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1</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1BEEF92D"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By 30th November 2024, submit a comprehensive Budget Memo to the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County Executive and County Assembly, advocating for increased county funding towards maternal health services, primary healthcare (PHC) infrastructure, and the immunization program, to be reflected in the County Fiscal Strategy Paper and the FY 2025/2026 budget planning process. </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39D9F177"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The Budget Memo has been developed and is currently under internal review. Engagements with key stakeholders, including the Health and Economic Planning departments, are ongoing to align the recommendations with county priorities. The memo is on track for submission by the set deadline of 30th November 2024. </w:t>
            </w:r>
          </w:p>
        </w:tc>
      </w:tr>
      <w:tr w:rsidR="00D04F94" w:rsidRPr="00C225BE" w14:paraId="34DDFC2A" w14:textId="77777777">
        <w:trPr>
          <w:trHeight w:val="262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D04C05"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2C011297"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4032FC3A"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2</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7F0320F2"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By 27th April 2025, conduct a courtesy visit to the pharmacy department at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Level V Hospital to assess drug availability and engage health staff on issues affecting supply chain and service delivery, with the aim of generating a summary report to inform future advocacy on medical supplies. </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3613E8FD"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The field visit was conducted as planned, but did not yield positive feedback. Accessing information from staff was challenging, and the team noted a critical shortage of drugs within the hospital, which significantly hindered service delivery and transparency during the engagement </w:t>
            </w:r>
          </w:p>
        </w:tc>
      </w:tr>
      <w:tr w:rsidR="00D04F94" w:rsidRPr="00C225BE" w14:paraId="58F20DDE" w14:textId="77777777">
        <w:trPr>
          <w:trHeight w:val="2355"/>
        </w:trPr>
        <w:tc>
          <w:tcPr>
            <w:tcW w:w="608" w:type="dxa"/>
            <w:vMerge/>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1FB152" w14:textId="77777777" w:rsidR="00D04F94" w:rsidRPr="00C225BE" w:rsidRDefault="00D04F94">
            <w:pPr>
              <w:rPr>
                <w:rFonts w:asciiTheme="minorHAnsi" w:hAnsiTheme="minorHAnsi"/>
                <w:sz w:val="24"/>
                <w:szCs w:val="24"/>
              </w:rPr>
            </w:pPr>
          </w:p>
        </w:tc>
        <w:tc>
          <w:tcPr>
            <w:tcW w:w="1180" w:type="dxa"/>
            <w:vMerge/>
            <w:tcBorders>
              <w:top w:val="nil"/>
              <w:left w:val="nil"/>
              <w:bottom w:val="single" w:sz="8" w:space="0" w:color="000000"/>
              <w:right w:val="single" w:sz="8" w:space="0" w:color="000000"/>
            </w:tcBorders>
            <w:tcMar>
              <w:top w:w="100" w:type="dxa"/>
              <w:left w:w="100" w:type="dxa"/>
              <w:bottom w:w="100" w:type="dxa"/>
              <w:right w:w="100" w:type="dxa"/>
            </w:tcMar>
          </w:tcPr>
          <w:p w14:paraId="31E27D5E" w14:textId="77777777" w:rsidR="00D04F94" w:rsidRPr="00C225BE" w:rsidRDefault="00D04F94">
            <w:pPr>
              <w:rPr>
                <w:rFonts w:asciiTheme="minorHAnsi" w:hAnsiTheme="minorHAnsi"/>
                <w:sz w:val="24"/>
                <w:szCs w:val="24"/>
              </w:rPr>
            </w:pPr>
          </w:p>
        </w:tc>
        <w:tc>
          <w:tcPr>
            <w:tcW w:w="961" w:type="dxa"/>
            <w:tcBorders>
              <w:top w:val="nil"/>
              <w:left w:val="nil"/>
              <w:bottom w:val="single" w:sz="8" w:space="0" w:color="000000"/>
              <w:right w:val="single" w:sz="8" w:space="0" w:color="000000"/>
            </w:tcBorders>
            <w:tcMar>
              <w:top w:w="0" w:type="dxa"/>
              <w:left w:w="100" w:type="dxa"/>
              <w:bottom w:w="0" w:type="dxa"/>
              <w:right w:w="100" w:type="dxa"/>
            </w:tcMar>
          </w:tcPr>
          <w:p w14:paraId="58F04C2C"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Group 3</w:t>
            </w:r>
          </w:p>
        </w:tc>
        <w:tc>
          <w:tcPr>
            <w:tcW w:w="2932" w:type="dxa"/>
            <w:tcBorders>
              <w:top w:val="nil"/>
              <w:left w:val="nil"/>
              <w:bottom w:val="single" w:sz="8" w:space="0" w:color="000000"/>
              <w:right w:val="single" w:sz="8" w:space="0" w:color="000000"/>
            </w:tcBorders>
            <w:tcMar>
              <w:top w:w="0" w:type="dxa"/>
              <w:left w:w="100" w:type="dxa"/>
              <w:bottom w:w="0" w:type="dxa"/>
              <w:right w:w="100" w:type="dxa"/>
            </w:tcMar>
          </w:tcPr>
          <w:p w14:paraId="15A729B3"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By 25th September 2025, engaged the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County Department of Health to ensure timely payment to the contracted hospital cleaning service provider, aiming to maintain uninterrupted sanitation services and improve hygiene conditions at </w:t>
            </w:r>
            <w:proofErr w:type="spellStart"/>
            <w:r w:rsidRPr="00C225BE">
              <w:rPr>
                <w:rFonts w:asciiTheme="minorHAnsi" w:hAnsiTheme="minorHAnsi"/>
                <w:sz w:val="24"/>
                <w:szCs w:val="24"/>
              </w:rPr>
              <w:t>Isiolo</w:t>
            </w:r>
            <w:proofErr w:type="spellEnd"/>
            <w:r w:rsidRPr="00C225BE">
              <w:rPr>
                <w:rFonts w:asciiTheme="minorHAnsi" w:hAnsiTheme="minorHAnsi"/>
                <w:sz w:val="24"/>
                <w:szCs w:val="24"/>
              </w:rPr>
              <w:t xml:space="preserve"> Level V Hospital. </w:t>
            </w:r>
          </w:p>
        </w:tc>
        <w:tc>
          <w:tcPr>
            <w:tcW w:w="2957" w:type="dxa"/>
            <w:tcBorders>
              <w:top w:val="nil"/>
              <w:left w:val="nil"/>
              <w:bottom w:val="single" w:sz="8" w:space="0" w:color="000000"/>
              <w:right w:val="single" w:sz="8" w:space="0" w:color="000000"/>
            </w:tcBorders>
            <w:tcMar>
              <w:top w:w="0" w:type="dxa"/>
              <w:left w:w="100" w:type="dxa"/>
              <w:bottom w:w="0" w:type="dxa"/>
              <w:right w:w="100" w:type="dxa"/>
            </w:tcMar>
          </w:tcPr>
          <w:p w14:paraId="48F77937" w14:textId="77777777" w:rsidR="00D04F94" w:rsidRPr="00C225BE" w:rsidRDefault="00000000">
            <w:pPr>
              <w:spacing w:after="0"/>
              <w:jc w:val="both"/>
              <w:rPr>
                <w:rFonts w:asciiTheme="minorHAnsi" w:hAnsiTheme="minorHAnsi"/>
                <w:sz w:val="24"/>
                <w:szCs w:val="24"/>
              </w:rPr>
            </w:pPr>
            <w:r w:rsidRPr="00C225BE">
              <w:rPr>
                <w:rFonts w:asciiTheme="minorHAnsi" w:hAnsiTheme="minorHAnsi"/>
                <w:sz w:val="24"/>
                <w:szCs w:val="24"/>
              </w:rPr>
              <w:t xml:space="preserve">The provider raised concerns over delayed payments, having gone unpaid for nearly 4 months. The issue was escalated to the Medical Superintendent, and follow-up efforts led to successful payment processing, resolving the delay and supporting continued sanitation services. </w:t>
            </w:r>
          </w:p>
        </w:tc>
      </w:tr>
    </w:tbl>
    <w:p w14:paraId="590AE426" w14:textId="77777777" w:rsidR="00D04F94" w:rsidRPr="00C225BE" w:rsidRDefault="00000000">
      <w:pPr>
        <w:rPr>
          <w:rFonts w:asciiTheme="minorHAnsi" w:hAnsiTheme="minorHAnsi"/>
          <w:sz w:val="24"/>
          <w:szCs w:val="24"/>
        </w:rPr>
      </w:pPr>
      <w:r w:rsidRPr="00C225BE">
        <w:rPr>
          <w:rFonts w:asciiTheme="minorHAnsi" w:hAnsiTheme="minorHAnsi"/>
          <w:sz w:val="24"/>
          <w:szCs w:val="24"/>
        </w:rPr>
        <w:t xml:space="preserve"> </w:t>
      </w:r>
    </w:p>
    <w:sectPr w:rsidR="00D04F94" w:rsidRPr="00C225BE">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Faith Ndungu" w:date="2025-12-07T16:03:00Z" w:initials="FN">
    <w:p w14:paraId="3DECC14B" w14:textId="1AF27CED" w:rsidR="00CF01FE" w:rsidRDefault="00CF01FE">
      <w:pPr>
        <w:pStyle w:val="CommentText"/>
      </w:pPr>
      <w:r>
        <w:rPr>
          <w:rStyle w:val="CommentReference"/>
        </w:rPr>
        <w:annotationRef/>
      </w:r>
      <w:r>
        <w:t>How many international engagements were held? Both physically and virtually?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ECC1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F8CF6A" w16cex:dateUtc="2025-12-07T1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ECC14B" w16cid:durableId="23F8CF6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3B0056B2-4507-49CB-9B62-3DCBA675FBB2}"/>
    <w:embedBold r:id="rId2" w:fontKey="{28507BAB-40A0-4110-8F82-080446CB842D}"/>
    <w:embedItalic r:id="rId3" w:fontKey="{B9301647-A0EF-48BA-A195-439776EC0BD3}"/>
    <w:embedBoldItalic r:id="rId4" w:fontKey="{E95AEE16-6674-4363-AB5B-A5980C12913E}"/>
  </w:font>
  <w:font w:name="Calibri">
    <w:panose1 w:val="020F0502020204030204"/>
    <w:charset w:val="00"/>
    <w:family w:val="swiss"/>
    <w:pitch w:val="variable"/>
    <w:sig w:usb0="E4002EFF" w:usb1="C200247B" w:usb2="00000009" w:usb3="00000000" w:csb0="000001FF" w:csb1="00000000"/>
    <w:embedRegular r:id="rId5" w:fontKey="{C0CD9B60-6201-4297-BE75-388D5D00206B}"/>
    <w:embedBold r:id="rId6" w:fontKey="{4C0596D0-0548-4EC2-A056-F7CE4499182F}"/>
    <w:embedItalic r:id="rId7" w:fontKey="{F0E41D54-3FA4-4685-8BF4-9BD1F2753AD1}"/>
    <w:embedBoldItalic r:id="rId8" w:fontKey="{D18EBFC6-89CD-4CF6-AAA9-916103DD4B5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C35"/>
    <w:multiLevelType w:val="hybridMultilevel"/>
    <w:tmpl w:val="A442E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2074B"/>
    <w:multiLevelType w:val="multilevel"/>
    <w:tmpl w:val="12D00D7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6153F23"/>
    <w:multiLevelType w:val="multilevel"/>
    <w:tmpl w:val="C8BC7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6022F9"/>
    <w:multiLevelType w:val="multilevel"/>
    <w:tmpl w:val="D0780A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602541"/>
    <w:multiLevelType w:val="multilevel"/>
    <w:tmpl w:val="D304DE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CB66A83"/>
    <w:multiLevelType w:val="multilevel"/>
    <w:tmpl w:val="D06E8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EFA77A0"/>
    <w:multiLevelType w:val="multilevel"/>
    <w:tmpl w:val="104EDC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3614AF8"/>
    <w:multiLevelType w:val="multilevel"/>
    <w:tmpl w:val="8C5E9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74952667">
    <w:abstractNumId w:val="6"/>
  </w:num>
  <w:num w:numId="2" w16cid:durableId="1465732629">
    <w:abstractNumId w:val="1"/>
  </w:num>
  <w:num w:numId="3" w16cid:durableId="1629818608">
    <w:abstractNumId w:val="7"/>
  </w:num>
  <w:num w:numId="4" w16cid:durableId="1005134543">
    <w:abstractNumId w:val="3"/>
  </w:num>
  <w:num w:numId="5" w16cid:durableId="147980606">
    <w:abstractNumId w:val="4"/>
  </w:num>
  <w:num w:numId="6" w16cid:durableId="787965820">
    <w:abstractNumId w:val="2"/>
  </w:num>
  <w:num w:numId="7" w16cid:durableId="1247764105">
    <w:abstractNumId w:val="5"/>
  </w:num>
  <w:num w:numId="8" w16cid:durableId="19031731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ith Ndungu">
    <w15:presenceInfo w15:providerId="AD" w15:userId="S::faith.ndungu@hennet.or.ke::a43bc86c-ca8c-42ab-8f81-6cc908308b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F94"/>
    <w:rsid w:val="002106CD"/>
    <w:rsid w:val="00291957"/>
    <w:rsid w:val="002A3DFA"/>
    <w:rsid w:val="00635A25"/>
    <w:rsid w:val="007307B8"/>
    <w:rsid w:val="00A576DA"/>
    <w:rsid w:val="00C225BE"/>
    <w:rsid w:val="00CF01FE"/>
    <w:rsid w:val="00D04F94"/>
    <w:rsid w:val="00D2189C"/>
    <w:rsid w:val="00E870E1"/>
    <w:rsid w:val="00E97D7A"/>
    <w:rsid w:val="00EB3CC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D0FF"/>
  <w15:docId w15:val="{D9F15A07-84CD-7D43-9662-CF28934EB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TOC1">
    <w:name w:val="toc 1"/>
    <w:basedOn w:val="Normal"/>
    <w:next w:val="Normal"/>
    <w:autoRedefine/>
    <w:uiPriority w:val="39"/>
    <w:unhideWhenUsed/>
    <w:rsid w:val="00D2189C"/>
    <w:pPr>
      <w:spacing w:after="100"/>
    </w:pPr>
  </w:style>
  <w:style w:type="paragraph" w:styleId="TOC2">
    <w:name w:val="toc 2"/>
    <w:basedOn w:val="Normal"/>
    <w:next w:val="Normal"/>
    <w:autoRedefine/>
    <w:uiPriority w:val="39"/>
    <w:unhideWhenUsed/>
    <w:rsid w:val="00D2189C"/>
    <w:pPr>
      <w:spacing w:after="100"/>
      <w:ind w:left="220"/>
    </w:pPr>
  </w:style>
  <w:style w:type="paragraph" w:styleId="TOC3">
    <w:name w:val="toc 3"/>
    <w:basedOn w:val="Normal"/>
    <w:next w:val="Normal"/>
    <w:autoRedefine/>
    <w:uiPriority w:val="39"/>
    <w:unhideWhenUsed/>
    <w:rsid w:val="00D2189C"/>
    <w:pPr>
      <w:spacing w:after="100"/>
      <w:ind w:left="440"/>
    </w:pPr>
  </w:style>
  <w:style w:type="character" w:styleId="Hyperlink">
    <w:name w:val="Hyperlink"/>
    <w:basedOn w:val="DefaultParagraphFont"/>
    <w:uiPriority w:val="99"/>
    <w:unhideWhenUsed/>
    <w:rsid w:val="00D2189C"/>
    <w:rPr>
      <w:color w:val="0000FF" w:themeColor="hyperlink"/>
      <w:u w:val="single"/>
    </w:rPr>
  </w:style>
  <w:style w:type="paragraph" w:styleId="ListParagraph">
    <w:name w:val="List Paragraph"/>
    <w:basedOn w:val="Normal"/>
    <w:uiPriority w:val="34"/>
    <w:qFormat/>
    <w:rsid w:val="00E97D7A"/>
    <w:pPr>
      <w:ind w:left="720"/>
      <w:contextualSpacing/>
    </w:pPr>
  </w:style>
  <w:style w:type="character" w:styleId="CommentReference">
    <w:name w:val="annotation reference"/>
    <w:basedOn w:val="DefaultParagraphFont"/>
    <w:uiPriority w:val="99"/>
    <w:semiHidden/>
    <w:unhideWhenUsed/>
    <w:rsid w:val="00CF01FE"/>
    <w:rPr>
      <w:sz w:val="16"/>
      <w:szCs w:val="16"/>
    </w:rPr>
  </w:style>
  <w:style w:type="paragraph" w:styleId="CommentText">
    <w:name w:val="annotation text"/>
    <w:basedOn w:val="Normal"/>
    <w:link w:val="CommentTextChar"/>
    <w:uiPriority w:val="99"/>
    <w:semiHidden/>
    <w:unhideWhenUsed/>
    <w:rsid w:val="00CF01FE"/>
    <w:pPr>
      <w:spacing w:line="240" w:lineRule="auto"/>
    </w:pPr>
    <w:rPr>
      <w:sz w:val="20"/>
      <w:szCs w:val="20"/>
    </w:rPr>
  </w:style>
  <w:style w:type="character" w:customStyle="1" w:styleId="CommentTextChar">
    <w:name w:val="Comment Text Char"/>
    <w:basedOn w:val="DefaultParagraphFont"/>
    <w:link w:val="CommentText"/>
    <w:uiPriority w:val="99"/>
    <w:semiHidden/>
    <w:rsid w:val="00CF01FE"/>
    <w:rPr>
      <w:sz w:val="20"/>
      <w:szCs w:val="20"/>
    </w:rPr>
  </w:style>
  <w:style w:type="paragraph" w:styleId="CommentSubject">
    <w:name w:val="annotation subject"/>
    <w:basedOn w:val="CommentText"/>
    <w:next w:val="CommentText"/>
    <w:link w:val="CommentSubjectChar"/>
    <w:uiPriority w:val="99"/>
    <w:semiHidden/>
    <w:unhideWhenUsed/>
    <w:rsid w:val="00CF01FE"/>
    <w:rPr>
      <w:b/>
      <w:bCs/>
    </w:rPr>
  </w:style>
  <w:style w:type="character" w:customStyle="1" w:styleId="CommentSubjectChar">
    <w:name w:val="Comment Subject Char"/>
    <w:basedOn w:val="CommentTextChar"/>
    <w:link w:val="CommentSubject"/>
    <w:uiPriority w:val="99"/>
    <w:semiHidden/>
    <w:rsid w:val="00CF01FE"/>
    <w:rPr>
      <w:b/>
      <w:bCs/>
      <w:sz w:val="20"/>
      <w:szCs w:val="20"/>
    </w:rPr>
  </w:style>
  <w:style w:type="paragraph" w:styleId="Caption">
    <w:name w:val="caption"/>
    <w:basedOn w:val="Normal"/>
    <w:next w:val="Normal"/>
    <w:uiPriority w:val="35"/>
    <w:unhideWhenUsed/>
    <w:qFormat/>
    <w:rsid w:val="002106CD"/>
    <w:pPr>
      <w:spacing w:line="240" w:lineRule="auto"/>
      <w:jc w:val="both"/>
    </w:pPr>
    <w:rPr>
      <w:rFonts w:asciiTheme="minorHAnsi" w:eastAsiaTheme="minorEastAsia" w:hAnsiTheme="minorHAnsi" w:cstheme="minorBidi"/>
      <w:i/>
      <w:iCs/>
      <w:color w:val="1F497D" w:themeColor="text2"/>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https://www.opengovpartnership.org/members/kakamega-kenya/commitments/kekak0001/?utm_source=chatgpt.com" TargetMode="External"/><Relationship Id="rId5" Type="http://schemas.openxmlformats.org/officeDocument/2006/relationships/webSettings" Target="webSettings.xml"/><Relationship Id="rId10" Type="http://schemas.openxmlformats.org/officeDocument/2006/relationships/hyperlink" Target="https://www.opengovpartnership.org/members/kakamega-kenya/commitments/kekak0001/?utm_source=chatgpt.com" TargetMode="Externa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E6CE5-7281-9840-8AD8-66F84DD12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47</Pages>
  <Words>14830</Words>
  <Characters>84537</Characters>
  <Application>Microsoft Office Word</Application>
  <DocSecurity>0</DocSecurity>
  <Lines>704</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HennetKenya002</dc:creator>
  <cp:lastModifiedBy>Faith Ndungu</cp:lastModifiedBy>
  <cp:revision>3</cp:revision>
  <dcterms:created xsi:type="dcterms:W3CDTF">2025-12-07T12:55:00Z</dcterms:created>
  <dcterms:modified xsi:type="dcterms:W3CDTF">2025-12-07T13:18:00Z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d2b158e2-cc0c-4c08-aae8-ceb2e7f7262a</vt:lpwstr>
  </property>
</Properties>
</file>