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79312" w14:textId="62A8B802" w:rsidR="002C00BC" w:rsidRPr="002F2E1F" w:rsidRDefault="00634ABF" w:rsidP="002C00BC">
      <w:pPr>
        <w:spacing w:after="0"/>
        <w:jc w:val="both"/>
        <w:rPr>
          <w:rFonts w:ascii="Arial" w:hAnsi="Arial" w:cs="Arial"/>
          <w:b/>
          <w:bCs/>
          <w:color w:val="275317" w:themeColor="accent6" w:themeShade="80"/>
          <w:sz w:val="22"/>
          <w:szCs w:val="22"/>
        </w:rPr>
      </w:pPr>
      <w:r w:rsidRPr="002F2E1F">
        <w:rPr>
          <w:b/>
          <w:bCs/>
          <w:noProof/>
          <w:color w:val="275317" w:themeColor="accent6" w:themeShade="80"/>
        </w:rPr>
        <w:drawing>
          <wp:anchor distT="0" distB="0" distL="114300" distR="114300" simplePos="0" relativeHeight="251658240" behindDoc="0" locked="0" layoutInCell="1" allowOverlap="1" wp14:anchorId="215FB361" wp14:editId="45911C6D">
            <wp:simplePos x="0" y="0"/>
            <wp:positionH relativeFrom="margin">
              <wp:posOffset>2072782</wp:posOffset>
            </wp:positionH>
            <wp:positionV relativeFrom="paragraph">
              <wp:posOffset>-365606</wp:posOffset>
            </wp:positionV>
            <wp:extent cx="1531620" cy="594360"/>
            <wp:effectExtent l="0" t="0" r="0" b="0"/>
            <wp:wrapNone/>
            <wp:docPr id="797385727" name="Picture 1"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85727" name="Picture 1" descr="A green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162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D3E6A1" w14:textId="77777777" w:rsidR="00634ABF" w:rsidRPr="002F2E1F" w:rsidRDefault="00634ABF" w:rsidP="002C00BC">
      <w:pPr>
        <w:spacing w:after="0"/>
        <w:jc w:val="both"/>
        <w:rPr>
          <w:rFonts w:ascii="Arial" w:hAnsi="Arial" w:cs="Arial"/>
          <w:b/>
          <w:bCs/>
          <w:color w:val="275317" w:themeColor="accent6" w:themeShade="80"/>
          <w:sz w:val="22"/>
          <w:szCs w:val="22"/>
        </w:rPr>
      </w:pPr>
    </w:p>
    <w:p w14:paraId="1DD1B856" w14:textId="77777777" w:rsidR="00634ABF" w:rsidRPr="002F2E1F" w:rsidRDefault="00634ABF" w:rsidP="002C00BC">
      <w:pPr>
        <w:spacing w:after="0"/>
        <w:jc w:val="both"/>
        <w:rPr>
          <w:rFonts w:ascii="Arial" w:hAnsi="Arial" w:cs="Arial"/>
          <w:b/>
          <w:bCs/>
          <w:color w:val="3A7C22" w:themeColor="accent6" w:themeShade="BF"/>
          <w:sz w:val="22"/>
          <w:szCs w:val="22"/>
        </w:rPr>
      </w:pPr>
    </w:p>
    <w:p w14:paraId="735A54D7" w14:textId="60B2E1F9" w:rsidR="002F2E1F" w:rsidRPr="002F2E1F" w:rsidRDefault="002F2E1F" w:rsidP="002F2E1F">
      <w:pPr>
        <w:spacing w:after="0"/>
        <w:jc w:val="both"/>
        <w:rPr>
          <w:rFonts w:ascii="Arial" w:hAnsi="Arial" w:cs="Arial"/>
          <w:b/>
          <w:bCs/>
          <w:color w:val="3A7C22" w:themeColor="accent6" w:themeShade="BF"/>
          <w:sz w:val="22"/>
          <w:szCs w:val="22"/>
        </w:rPr>
      </w:pPr>
      <w:r w:rsidRPr="002F2E1F">
        <w:rPr>
          <w:rFonts w:ascii="Arial" w:hAnsi="Arial" w:cs="Arial"/>
          <w:b/>
          <w:bCs/>
          <w:color w:val="3A7C22" w:themeColor="accent6" w:themeShade="BF"/>
          <w:sz w:val="22"/>
          <w:szCs w:val="22"/>
        </w:rPr>
        <w:t>Report on HENNET’s Participation at the 7</w:t>
      </w:r>
      <w:r w:rsidR="00E43FCB">
        <w:rPr>
          <w:rFonts w:ascii="Arial" w:hAnsi="Arial" w:cs="Arial"/>
          <w:b/>
          <w:bCs/>
          <w:color w:val="3A7C22" w:themeColor="accent6" w:themeShade="BF"/>
          <w:sz w:val="22"/>
          <w:szCs w:val="22"/>
        </w:rPr>
        <w:t>7</w:t>
      </w:r>
      <w:r w:rsidRPr="002F2E1F">
        <w:rPr>
          <w:rFonts w:ascii="Arial" w:hAnsi="Arial" w:cs="Arial"/>
          <w:b/>
          <w:bCs/>
          <w:color w:val="3A7C22" w:themeColor="accent6" w:themeShade="BF"/>
          <w:sz w:val="22"/>
          <w:szCs w:val="22"/>
        </w:rPr>
        <w:t>th World Health Assembly (WHA 7</w:t>
      </w:r>
      <w:r w:rsidR="00E43FCB">
        <w:rPr>
          <w:rFonts w:ascii="Arial" w:hAnsi="Arial" w:cs="Arial"/>
          <w:b/>
          <w:bCs/>
          <w:color w:val="3A7C22" w:themeColor="accent6" w:themeShade="BF"/>
          <w:sz w:val="22"/>
          <w:szCs w:val="22"/>
        </w:rPr>
        <w:t>7</w:t>
      </w:r>
      <w:r w:rsidRPr="002F2E1F">
        <w:rPr>
          <w:rFonts w:ascii="Arial" w:hAnsi="Arial" w:cs="Arial"/>
          <w:b/>
          <w:bCs/>
          <w:color w:val="3A7C22" w:themeColor="accent6" w:themeShade="BF"/>
          <w:sz w:val="22"/>
          <w:szCs w:val="22"/>
        </w:rPr>
        <w:t>)</w:t>
      </w:r>
    </w:p>
    <w:p w14:paraId="76EC9CCC" w14:textId="7826EB9E" w:rsidR="002C00BC" w:rsidRPr="002F2E1F" w:rsidRDefault="00D65E7D" w:rsidP="002C00BC">
      <w:pPr>
        <w:spacing w:after="0"/>
        <w:jc w:val="both"/>
        <w:rPr>
          <w:rFonts w:ascii="Arial" w:hAnsi="Arial" w:cs="Arial"/>
          <w:b/>
          <w:bCs/>
          <w:sz w:val="22"/>
          <w:szCs w:val="22"/>
        </w:rPr>
      </w:pPr>
      <w:r w:rsidRPr="002F2E1F">
        <w:rPr>
          <w:rFonts w:ascii="Arial" w:hAnsi="Arial" w:cs="Arial"/>
          <w:b/>
          <w:bCs/>
          <w:sz w:val="22"/>
          <w:szCs w:val="22"/>
        </w:rPr>
        <w:t xml:space="preserve">Date: 27th </w:t>
      </w:r>
      <w:r w:rsidR="00A54175" w:rsidRPr="002F2E1F">
        <w:rPr>
          <w:rFonts w:ascii="Arial" w:hAnsi="Arial" w:cs="Arial"/>
          <w:b/>
          <w:bCs/>
          <w:sz w:val="22"/>
          <w:szCs w:val="22"/>
        </w:rPr>
        <w:t>May-1</w:t>
      </w:r>
      <w:r w:rsidR="00A54175" w:rsidRPr="002F2E1F">
        <w:rPr>
          <w:rFonts w:ascii="Arial" w:hAnsi="Arial" w:cs="Arial"/>
          <w:b/>
          <w:bCs/>
          <w:sz w:val="22"/>
          <w:szCs w:val="22"/>
          <w:vertAlign w:val="superscript"/>
        </w:rPr>
        <w:t>st</w:t>
      </w:r>
      <w:r w:rsidR="00A54175" w:rsidRPr="002F2E1F">
        <w:rPr>
          <w:rFonts w:ascii="Arial" w:hAnsi="Arial" w:cs="Arial"/>
          <w:b/>
          <w:bCs/>
          <w:sz w:val="22"/>
          <w:szCs w:val="22"/>
        </w:rPr>
        <w:t xml:space="preserve"> June</w:t>
      </w:r>
      <w:r w:rsidRPr="002F2E1F">
        <w:rPr>
          <w:rFonts w:ascii="Arial" w:hAnsi="Arial" w:cs="Arial"/>
          <w:b/>
          <w:bCs/>
          <w:sz w:val="22"/>
          <w:szCs w:val="22"/>
        </w:rPr>
        <w:t xml:space="preserve"> 202</w:t>
      </w:r>
      <w:r w:rsidR="00A54175" w:rsidRPr="002F2E1F">
        <w:rPr>
          <w:rFonts w:ascii="Arial" w:hAnsi="Arial" w:cs="Arial"/>
          <w:b/>
          <w:bCs/>
          <w:sz w:val="22"/>
          <w:szCs w:val="22"/>
        </w:rPr>
        <w:t>4</w:t>
      </w:r>
    </w:p>
    <w:p w14:paraId="46BEF550" w14:textId="4993F4EF" w:rsidR="002C00BC" w:rsidRPr="002F2E1F" w:rsidRDefault="00E02340" w:rsidP="002C00BC">
      <w:pPr>
        <w:spacing w:after="0"/>
        <w:jc w:val="both"/>
        <w:rPr>
          <w:rFonts w:ascii="Arial" w:hAnsi="Arial" w:cs="Arial"/>
          <w:b/>
          <w:bCs/>
          <w:sz w:val="22"/>
          <w:szCs w:val="22"/>
        </w:rPr>
      </w:pPr>
      <w:r>
        <w:rPr>
          <w:rFonts w:ascii="Arial" w:hAnsi="Arial" w:cs="Arial"/>
          <w:b/>
          <w:bCs/>
          <w:sz w:val="22"/>
          <w:szCs w:val="22"/>
        </w:rPr>
        <w:t>Location</w:t>
      </w:r>
      <w:r w:rsidR="00D65E7D" w:rsidRPr="002F2E1F">
        <w:rPr>
          <w:rFonts w:ascii="Arial" w:hAnsi="Arial" w:cs="Arial"/>
          <w:b/>
          <w:bCs/>
          <w:sz w:val="22"/>
          <w:szCs w:val="22"/>
        </w:rPr>
        <w:t xml:space="preserve">: </w:t>
      </w:r>
      <w:r w:rsidR="00A54175" w:rsidRPr="002F2E1F">
        <w:rPr>
          <w:rFonts w:ascii="Arial" w:hAnsi="Arial" w:cs="Arial"/>
          <w:b/>
          <w:bCs/>
          <w:sz w:val="22"/>
          <w:szCs w:val="22"/>
        </w:rPr>
        <w:t>Gene</w:t>
      </w:r>
      <w:r w:rsidR="00460FAB" w:rsidRPr="002F2E1F">
        <w:rPr>
          <w:rFonts w:ascii="Arial" w:hAnsi="Arial" w:cs="Arial"/>
          <w:b/>
          <w:bCs/>
          <w:sz w:val="22"/>
          <w:szCs w:val="22"/>
        </w:rPr>
        <w:t>va, Switzerland</w:t>
      </w:r>
    </w:p>
    <w:p w14:paraId="74C22901" w14:textId="4C2848BE" w:rsidR="00D65E7D" w:rsidRPr="002F2E1F" w:rsidRDefault="00E02340" w:rsidP="002C00BC">
      <w:pPr>
        <w:pBdr>
          <w:bottom w:val="single" w:sz="12" w:space="1" w:color="auto"/>
        </w:pBdr>
        <w:spacing w:after="0"/>
        <w:jc w:val="both"/>
        <w:rPr>
          <w:rFonts w:ascii="Arial" w:hAnsi="Arial" w:cs="Arial"/>
          <w:b/>
          <w:bCs/>
          <w:sz w:val="22"/>
          <w:szCs w:val="22"/>
        </w:rPr>
      </w:pPr>
      <w:r>
        <w:rPr>
          <w:rFonts w:ascii="Arial" w:hAnsi="Arial" w:cs="Arial"/>
          <w:b/>
          <w:bCs/>
          <w:sz w:val="22"/>
          <w:szCs w:val="22"/>
        </w:rPr>
        <w:t>Author</w:t>
      </w:r>
      <w:r w:rsidR="00D65E7D" w:rsidRPr="002F2E1F">
        <w:rPr>
          <w:rFonts w:ascii="Arial" w:hAnsi="Arial" w:cs="Arial"/>
          <w:b/>
          <w:bCs/>
          <w:sz w:val="22"/>
          <w:szCs w:val="22"/>
        </w:rPr>
        <w:t>: Health NGOs Network (HENNET)</w:t>
      </w:r>
    </w:p>
    <w:p w14:paraId="4E41FDC9"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Introduction</w:t>
      </w:r>
    </w:p>
    <w:p w14:paraId="49D60834" w14:textId="6EAEBA6C"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The World Health Assembly (WHA) is the decision-making body of the World Health Organization (WHO). It brings together delegations from all 194 Member States to determine the Organization’s policies, appoint the Director-General, supervise financial and administrative operations, and approve the programme budget. Convened annually in Geneva, Switzerland, the WHA serves as the world’s foremost platform for shaping global health priorities and charting collaborative pathways toward health for all.</w:t>
      </w:r>
      <w:r>
        <w:rPr>
          <w:rFonts w:ascii="Arial" w:hAnsi="Arial" w:cs="Arial"/>
          <w:sz w:val="22"/>
          <w:szCs w:val="22"/>
        </w:rPr>
        <w:t xml:space="preserve">  </w:t>
      </w:r>
      <w:r w:rsidRPr="002F2E1F">
        <w:rPr>
          <w:rFonts w:ascii="Arial" w:hAnsi="Arial" w:cs="Arial"/>
          <w:sz w:val="22"/>
          <w:szCs w:val="22"/>
        </w:rPr>
        <w:t>The 7</w:t>
      </w:r>
      <w:r w:rsidR="00E43FCB">
        <w:rPr>
          <w:rFonts w:ascii="Arial" w:hAnsi="Arial" w:cs="Arial"/>
          <w:sz w:val="22"/>
          <w:szCs w:val="22"/>
        </w:rPr>
        <w:t>7</w:t>
      </w:r>
      <w:r w:rsidRPr="002F2E1F">
        <w:rPr>
          <w:rFonts w:ascii="Arial" w:hAnsi="Arial" w:cs="Arial"/>
          <w:sz w:val="22"/>
          <w:szCs w:val="22"/>
        </w:rPr>
        <w:t>th World Health Assembly (WHA 7</w:t>
      </w:r>
      <w:r w:rsidR="00E43FCB">
        <w:rPr>
          <w:rFonts w:ascii="Arial" w:hAnsi="Arial" w:cs="Arial"/>
          <w:sz w:val="22"/>
          <w:szCs w:val="22"/>
        </w:rPr>
        <w:t>7</w:t>
      </w:r>
      <w:r w:rsidRPr="002F2E1F">
        <w:rPr>
          <w:rFonts w:ascii="Arial" w:hAnsi="Arial" w:cs="Arial"/>
          <w:sz w:val="22"/>
          <w:szCs w:val="22"/>
        </w:rPr>
        <w:t>) was held from 2</w:t>
      </w:r>
      <w:r w:rsidR="00E43FCB">
        <w:rPr>
          <w:rFonts w:ascii="Arial" w:hAnsi="Arial" w:cs="Arial"/>
          <w:sz w:val="22"/>
          <w:szCs w:val="22"/>
        </w:rPr>
        <w:t>7 May – 1 June</w:t>
      </w:r>
      <w:r w:rsidRPr="002F2E1F">
        <w:rPr>
          <w:rFonts w:ascii="Arial" w:hAnsi="Arial" w:cs="Arial"/>
          <w:sz w:val="22"/>
          <w:szCs w:val="22"/>
        </w:rPr>
        <w:t xml:space="preserve"> </w:t>
      </w:r>
      <w:r w:rsidR="00E43FCB">
        <w:rPr>
          <w:rFonts w:ascii="Arial" w:hAnsi="Arial" w:cs="Arial"/>
          <w:sz w:val="22"/>
          <w:szCs w:val="22"/>
        </w:rPr>
        <w:t>2024</w:t>
      </w:r>
      <w:r w:rsidRPr="002F2E1F">
        <w:rPr>
          <w:rFonts w:ascii="Arial" w:hAnsi="Arial" w:cs="Arial"/>
          <w:sz w:val="22"/>
          <w:szCs w:val="22"/>
        </w:rPr>
        <w:t xml:space="preserve">, under the overarching theme </w:t>
      </w:r>
      <w:r w:rsidR="00935E41" w:rsidRPr="00935E41">
        <w:rPr>
          <w:rFonts w:ascii="Arial" w:hAnsi="Arial" w:cs="Arial"/>
          <w:sz w:val="22"/>
          <w:szCs w:val="22"/>
        </w:rPr>
        <w:t xml:space="preserve"> World Health Assembly (WHA77) </w:t>
      </w:r>
      <w:r w:rsidR="00935E41">
        <w:rPr>
          <w:rFonts w:ascii="Arial" w:hAnsi="Arial" w:cs="Arial"/>
          <w:sz w:val="22"/>
          <w:szCs w:val="22"/>
        </w:rPr>
        <w:t>theme was</w:t>
      </w:r>
      <w:r w:rsidR="00935E41" w:rsidRPr="00935E41">
        <w:rPr>
          <w:rFonts w:ascii="Arial" w:hAnsi="Arial" w:cs="Arial"/>
          <w:sz w:val="22"/>
          <w:szCs w:val="22"/>
        </w:rPr>
        <w:t xml:space="preserve"> "</w:t>
      </w:r>
      <w:hyperlink r:id="rId11" w:history="1">
        <w:r w:rsidR="00935E41" w:rsidRPr="00935E41">
          <w:rPr>
            <w:rStyle w:val="Hyperlink"/>
            <w:rFonts w:ascii="Arial" w:hAnsi="Arial" w:cs="Arial"/>
            <w:b/>
            <w:bCs/>
            <w:sz w:val="22"/>
            <w:szCs w:val="22"/>
          </w:rPr>
          <w:t>All for Health, Health for All</w:t>
        </w:r>
      </w:hyperlink>
      <w:r w:rsidR="00935E41" w:rsidRPr="00935E41">
        <w:rPr>
          <w:rFonts w:ascii="Arial" w:hAnsi="Arial" w:cs="Arial"/>
          <w:sz w:val="22"/>
          <w:szCs w:val="22"/>
        </w:rPr>
        <w:t>," focusing on global health equity, strengthened pandemic preparedness</w:t>
      </w:r>
      <w:r w:rsidR="00935E41">
        <w:rPr>
          <w:rFonts w:ascii="Arial" w:hAnsi="Arial" w:cs="Arial"/>
          <w:sz w:val="22"/>
          <w:szCs w:val="22"/>
        </w:rPr>
        <w:t>,</w:t>
      </w:r>
      <w:r w:rsidR="00935E41" w:rsidRPr="00935E41">
        <w:rPr>
          <w:rFonts w:ascii="Arial" w:hAnsi="Arial" w:cs="Arial"/>
          <w:sz w:val="22"/>
          <w:szCs w:val="22"/>
        </w:rPr>
        <w:t xml:space="preserve"> and </w:t>
      </w:r>
      <w:r w:rsidR="00935E41">
        <w:rPr>
          <w:rFonts w:ascii="Arial" w:hAnsi="Arial" w:cs="Arial"/>
          <w:sz w:val="22"/>
          <w:szCs w:val="22"/>
        </w:rPr>
        <w:t xml:space="preserve">strides towards </w:t>
      </w:r>
      <w:r w:rsidR="00935E41" w:rsidRPr="00935E41">
        <w:rPr>
          <w:rFonts w:ascii="Arial" w:hAnsi="Arial" w:cs="Arial"/>
          <w:sz w:val="22"/>
          <w:szCs w:val="22"/>
        </w:rPr>
        <w:t>achieving universal health coverage</w:t>
      </w:r>
      <w:r w:rsidR="00935E41">
        <w:rPr>
          <w:rFonts w:ascii="Arial" w:hAnsi="Arial" w:cs="Arial"/>
          <w:sz w:val="22"/>
          <w:szCs w:val="22"/>
        </w:rPr>
        <w:t>.</w:t>
      </w:r>
    </w:p>
    <w:p w14:paraId="330582EA" w14:textId="77777777" w:rsidR="002F2E1F" w:rsidRPr="002F2E1F" w:rsidRDefault="00000000" w:rsidP="002F2E1F">
      <w:pPr>
        <w:spacing w:after="0"/>
        <w:jc w:val="both"/>
        <w:rPr>
          <w:rFonts w:ascii="Arial" w:hAnsi="Arial" w:cs="Arial"/>
          <w:sz w:val="22"/>
          <w:szCs w:val="22"/>
        </w:rPr>
      </w:pPr>
      <w:r>
        <w:rPr>
          <w:rFonts w:ascii="Arial" w:hAnsi="Arial" w:cs="Arial"/>
          <w:sz w:val="22"/>
          <w:szCs w:val="22"/>
        </w:rPr>
        <w:pict w14:anchorId="3594482C">
          <v:rect id="_x0000_i1025" style="width:0;height:1.5pt" o:hralign="center" o:hrstd="t" o:hr="t" fillcolor="#a0a0a0" stroked="f"/>
        </w:pict>
      </w:r>
    </w:p>
    <w:p w14:paraId="757C248B"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Background</w:t>
      </w:r>
    </w:p>
    <w:p w14:paraId="3D4F08D7" w14:textId="013A2085" w:rsidR="002F2E1F" w:rsidRDefault="002F2E1F" w:rsidP="002F2E1F">
      <w:pPr>
        <w:spacing w:after="0"/>
        <w:jc w:val="both"/>
        <w:rPr>
          <w:rFonts w:ascii="Arial" w:hAnsi="Arial" w:cs="Arial"/>
          <w:sz w:val="22"/>
          <w:szCs w:val="22"/>
        </w:rPr>
      </w:pPr>
      <w:r w:rsidRPr="002F2E1F">
        <w:rPr>
          <w:rFonts w:ascii="Arial" w:hAnsi="Arial" w:cs="Arial"/>
          <w:sz w:val="22"/>
          <w:szCs w:val="22"/>
        </w:rPr>
        <w:t>At WHA 7</w:t>
      </w:r>
      <w:r w:rsidR="00B42EBC">
        <w:rPr>
          <w:rFonts w:ascii="Arial" w:hAnsi="Arial" w:cs="Arial"/>
          <w:sz w:val="22"/>
          <w:szCs w:val="22"/>
        </w:rPr>
        <w:t>7</w:t>
      </w:r>
      <w:r w:rsidRPr="002F2E1F">
        <w:rPr>
          <w:rFonts w:ascii="Arial" w:hAnsi="Arial" w:cs="Arial"/>
          <w:sz w:val="22"/>
          <w:szCs w:val="22"/>
        </w:rPr>
        <w:t>, HENNET actively participated in two key civil society side events that underscored the growing global consensus around social participation in health governance</w:t>
      </w:r>
      <w:r w:rsidR="00567FE2">
        <w:rPr>
          <w:rFonts w:ascii="Arial" w:hAnsi="Arial" w:cs="Arial"/>
          <w:sz w:val="22"/>
          <w:szCs w:val="22"/>
        </w:rPr>
        <w:t>,</w:t>
      </w:r>
      <w:r w:rsidRPr="002F2E1F">
        <w:rPr>
          <w:rFonts w:ascii="Arial" w:hAnsi="Arial" w:cs="Arial"/>
          <w:sz w:val="22"/>
          <w:szCs w:val="22"/>
        </w:rPr>
        <w:t xml:space="preserve"> an essential enabler of accountability, equity, and people-centred care.</w:t>
      </w:r>
      <w:r w:rsidR="00851657">
        <w:rPr>
          <w:rFonts w:ascii="Arial" w:hAnsi="Arial" w:cs="Arial"/>
          <w:sz w:val="22"/>
          <w:szCs w:val="22"/>
        </w:rPr>
        <w:t xml:space="preserve">  </w:t>
      </w:r>
      <w:r w:rsidRPr="002F2E1F">
        <w:rPr>
          <w:rFonts w:ascii="Arial" w:hAnsi="Arial" w:cs="Arial"/>
          <w:sz w:val="22"/>
          <w:szCs w:val="22"/>
        </w:rPr>
        <w:t xml:space="preserve">The first was hosted by the Civil Society Engagement Mechanism for UHC2030 (CSEM), </w:t>
      </w:r>
      <w:r w:rsidR="00935E41">
        <w:rPr>
          <w:rFonts w:ascii="Arial" w:hAnsi="Arial" w:cs="Arial"/>
          <w:sz w:val="22"/>
          <w:szCs w:val="22"/>
        </w:rPr>
        <w:t xml:space="preserve">which is focused on </w:t>
      </w:r>
      <w:r w:rsidR="00935E41" w:rsidRPr="00935E41">
        <w:rPr>
          <w:rFonts w:ascii="Arial" w:hAnsi="Arial" w:cs="Arial"/>
          <w:sz w:val="22"/>
          <w:szCs w:val="22"/>
        </w:rPr>
        <w:t>Accelerating progress towards universal health coverage: dialogue between Parliamentarians, youth and civil society</w:t>
      </w:r>
      <w:r w:rsidR="00935E41">
        <w:rPr>
          <w:rFonts w:ascii="Arial" w:hAnsi="Arial" w:cs="Arial"/>
          <w:sz w:val="22"/>
          <w:szCs w:val="22"/>
        </w:rPr>
        <w:t xml:space="preserve">. </w:t>
      </w:r>
      <w:r w:rsidRPr="002F2E1F">
        <w:rPr>
          <w:rFonts w:ascii="Arial" w:hAnsi="Arial" w:cs="Arial"/>
          <w:sz w:val="22"/>
          <w:szCs w:val="22"/>
        </w:rPr>
        <w:t xml:space="preserve"> </w:t>
      </w:r>
      <w:r w:rsidR="00935E41" w:rsidRPr="00935E41">
        <w:rPr>
          <w:rFonts w:ascii="Arial" w:hAnsi="Arial" w:cs="Arial"/>
          <w:sz w:val="22"/>
          <w:szCs w:val="22"/>
        </w:rPr>
        <w:t>From commitments to action: accelerating equitable progress towards UHC</w:t>
      </w:r>
      <w:r w:rsidR="00935E41">
        <w:rPr>
          <w:rFonts w:ascii="Arial" w:hAnsi="Arial" w:cs="Arial"/>
          <w:sz w:val="22"/>
          <w:szCs w:val="22"/>
        </w:rPr>
        <w:t xml:space="preserve">. </w:t>
      </w:r>
      <w:r w:rsidRPr="002F2E1F">
        <w:rPr>
          <w:rFonts w:ascii="Arial" w:hAnsi="Arial" w:cs="Arial"/>
          <w:sz w:val="22"/>
          <w:szCs w:val="22"/>
        </w:rPr>
        <w:t xml:space="preserve">This </w:t>
      </w:r>
      <w:proofErr w:type="gramStart"/>
      <w:r w:rsidRPr="002F2E1F">
        <w:rPr>
          <w:rFonts w:ascii="Arial" w:hAnsi="Arial" w:cs="Arial"/>
          <w:sz w:val="22"/>
          <w:szCs w:val="22"/>
        </w:rPr>
        <w:t>event built</w:t>
      </w:r>
      <w:proofErr w:type="gramEnd"/>
      <w:r w:rsidRPr="002F2E1F">
        <w:rPr>
          <w:rFonts w:ascii="Arial" w:hAnsi="Arial" w:cs="Arial"/>
          <w:sz w:val="22"/>
          <w:szCs w:val="22"/>
        </w:rPr>
        <w:t xml:space="preserve"> momentum around ongoing advocacy efforts by Thailand and Slovenia, supported by Brazil, France, Norway, and Tunisia</w:t>
      </w:r>
      <w:r w:rsidR="00CD7E74">
        <w:rPr>
          <w:rFonts w:ascii="Arial" w:hAnsi="Arial" w:cs="Arial"/>
          <w:sz w:val="22"/>
          <w:szCs w:val="22"/>
        </w:rPr>
        <w:t>,</w:t>
      </w:r>
      <w:r w:rsidR="00030214">
        <w:rPr>
          <w:rFonts w:ascii="Arial" w:hAnsi="Arial" w:cs="Arial"/>
          <w:sz w:val="22"/>
          <w:szCs w:val="22"/>
        </w:rPr>
        <w:t xml:space="preserve"> for </w:t>
      </w:r>
      <w:r w:rsidR="00456210">
        <w:rPr>
          <w:rFonts w:ascii="Arial" w:hAnsi="Arial" w:cs="Arial"/>
          <w:sz w:val="22"/>
          <w:szCs w:val="22"/>
        </w:rPr>
        <w:t>the adoption of a</w:t>
      </w:r>
      <w:r w:rsidRPr="002F2E1F">
        <w:rPr>
          <w:rFonts w:ascii="Arial" w:hAnsi="Arial" w:cs="Arial"/>
          <w:sz w:val="22"/>
          <w:szCs w:val="22"/>
        </w:rPr>
        <w:t xml:space="preserve"> landmark WHA resolution on social participatio</w:t>
      </w:r>
      <w:r w:rsidR="006E02CD">
        <w:rPr>
          <w:rFonts w:ascii="Arial" w:hAnsi="Arial" w:cs="Arial"/>
          <w:sz w:val="22"/>
          <w:szCs w:val="22"/>
        </w:rPr>
        <w:t>n for UHC, health and well-being</w:t>
      </w:r>
      <w:r w:rsidR="00456210">
        <w:rPr>
          <w:rFonts w:ascii="Arial" w:hAnsi="Arial" w:cs="Arial"/>
          <w:sz w:val="22"/>
          <w:szCs w:val="22"/>
        </w:rPr>
        <w:t>.</w:t>
      </w:r>
    </w:p>
    <w:p w14:paraId="5FDBF26B" w14:textId="77777777" w:rsidR="00851657" w:rsidRPr="002F2E1F" w:rsidRDefault="00851657" w:rsidP="002F2E1F">
      <w:pPr>
        <w:spacing w:after="0"/>
        <w:jc w:val="both"/>
        <w:rPr>
          <w:rFonts w:ascii="Arial" w:hAnsi="Arial" w:cs="Arial"/>
          <w:sz w:val="22"/>
          <w:szCs w:val="22"/>
        </w:rPr>
      </w:pPr>
    </w:p>
    <w:p w14:paraId="55D702AE" w14:textId="0B7A757E" w:rsidR="002F2E1F" w:rsidRDefault="002F2E1F" w:rsidP="002F2E1F">
      <w:pPr>
        <w:spacing w:after="0"/>
        <w:jc w:val="both"/>
        <w:rPr>
          <w:rFonts w:ascii="Arial" w:hAnsi="Arial" w:cs="Arial"/>
          <w:sz w:val="22"/>
          <w:szCs w:val="22"/>
        </w:rPr>
      </w:pPr>
      <w:r w:rsidRPr="002F2E1F">
        <w:rPr>
          <w:rFonts w:ascii="Arial" w:hAnsi="Arial" w:cs="Arial"/>
          <w:sz w:val="22"/>
          <w:szCs w:val="22"/>
        </w:rPr>
        <w:t>The second event</w:t>
      </w:r>
      <w:r w:rsidR="00A162D8">
        <w:rPr>
          <w:rFonts w:ascii="Arial" w:hAnsi="Arial" w:cs="Arial"/>
          <w:sz w:val="22"/>
          <w:szCs w:val="22"/>
        </w:rPr>
        <w:t xml:space="preserve"> HENNET engaged in was hosted </w:t>
      </w:r>
      <w:r w:rsidRPr="002F2E1F">
        <w:rPr>
          <w:rFonts w:ascii="Arial" w:hAnsi="Arial" w:cs="Arial"/>
          <w:sz w:val="22"/>
          <w:szCs w:val="22"/>
        </w:rPr>
        <w:t>by the Social Participation for Health: Engagement, Research, and Empowerment (SPHERE) consortium</w:t>
      </w:r>
      <w:r w:rsidR="00A162D8">
        <w:rPr>
          <w:rFonts w:ascii="Arial" w:hAnsi="Arial" w:cs="Arial"/>
          <w:sz w:val="22"/>
          <w:szCs w:val="22"/>
        </w:rPr>
        <w:t xml:space="preserve"> and it was titled, </w:t>
      </w:r>
      <w:r w:rsidR="00917E35" w:rsidRPr="002F2E1F">
        <w:rPr>
          <w:rFonts w:ascii="Arial" w:hAnsi="Arial" w:cs="Arial"/>
          <w:i/>
          <w:iCs/>
          <w:sz w:val="22"/>
          <w:szCs w:val="22"/>
        </w:rPr>
        <w:t>“</w:t>
      </w:r>
      <w:hyperlink r:id="rId12" w:history="1">
        <w:r w:rsidR="00917E35" w:rsidRPr="00A162D8">
          <w:rPr>
            <w:rStyle w:val="Hyperlink"/>
            <w:rFonts w:ascii="Arial" w:hAnsi="Arial" w:cs="Arial"/>
            <w:i/>
            <w:iCs/>
            <w:sz w:val="22"/>
            <w:szCs w:val="22"/>
          </w:rPr>
          <w:t>For</w:t>
        </w:r>
        <w:r w:rsidRPr="00A162D8">
          <w:rPr>
            <w:rStyle w:val="Hyperlink"/>
            <w:rFonts w:ascii="Arial" w:hAnsi="Arial" w:cs="Arial"/>
            <w:i/>
            <w:iCs/>
            <w:sz w:val="22"/>
            <w:szCs w:val="22"/>
          </w:rPr>
          <w:t xml:space="preserve"> the People, With the People: Joining Hands &amp; Using Evidence to Implement Social Participation for Universal Health Coverage</w:t>
        </w:r>
      </w:hyperlink>
      <w:r w:rsidRPr="002F2E1F">
        <w:rPr>
          <w:rFonts w:ascii="Arial" w:hAnsi="Arial" w:cs="Arial"/>
          <w:i/>
          <w:iCs/>
          <w:sz w:val="22"/>
          <w:szCs w:val="22"/>
        </w:rPr>
        <w:t>.”</w:t>
      </w:r>
      <w:r w:rsidR="00851657">
        <w:rPr>
          <w:rFonts w:ascii="Arial" w:hAnsi="Arial" w:cs="Arial"/>
          <w:i/>
          <w:iCs/>
          <w:sz w:val="22"/>
          <w:szCs w:val="22"/>
        </w:rPr>
        <w:t xml:space="preserve"> </w:t>
      </w:r>
      <w:r w:rsidRPr="002F2E1F">
        <w:rPr>
          <w:rFonts w:ascii="Arial" w:hAnsi="Arial" w:cs="Arial"/>
          <w:sz w:val="22"/>
          <w:szCs w:val="22"/>
        </w:rPr>
        <w:t xml:space="preserve">This side event aimed to deepen understanding of </w:t>
      </w:r>
      <w:r w:rsidR="00A162D8">
        <w:rPr>
          <w:rFonts w:ascii="Arial" w:hAnsi="Arial" w:cs="Arial"/>
          <w:sz w:val="22"/>
          <w:szCs w:val="22"/>
        </w:rPr>
        <w:t>s</w:t>
      </w:r>
      <w:r w:rsidRPr="002F2E1F">
        <w:rPr>
          <w:rFonts w:ascii="Arial" w:hAnsi="Arial" w:cs="Arial"/>
          <w:sz w:val="22"/>
          <w:szCs w:val="22"/>
        </w:rPr>
        <w:t xml:space="preserve">ocial </w:t>
      </w:r>
      <w:r w:rsidR="00A162D8">
        <w:rPr>
          <w:rFonts w:ascii="Arial" w:hAnsi="Arial" w:cs="Arial"/>
          <w:sz w:val="22"/>
          <w:szCs w:val="22"/>
        </w:rPr>
        <w:t>p</w:t>
      </w:r>
      <w:r w:rsidRPr="002F2E1F">
        <w:rPr>
          <w:rFonts w:ascii="Arial" w:hAnsi="Arial" w:cs="Arial"/>
          <w:sz w:val="22"/>
          <w:szCs w:val="22"/>
        </w:rPr>
        <w:t xml:space="preserve">articipation for </w:t>
      </w:r>
      <w:r w:rsidR="00A162D8">
        <w:rPr>
          <w:rFonts w:ascii="Arial" w:hAnsi="Arial" w:cs="Arial"/>
          <w:sz w:val="22"/>
          <w:szCs w:val="22"/>
        </w:rPr>
        <w:t>h</w:t>
      </w:r>
      <w:r w:rsidRPr="002F2E1F">
        <w:rPr>
          <w:rFonts w:ascii="Arial" w:hAnsi="Arial" w:cs="Arial"/>
          <w:sz w:val="22"/>
          <w:szCs w:val="22"/>
        </w:rPr>
        <w:t>ealth (SPH), defined as empowering people, communities, and civil society to engage meaningfully in decision-making processes that influence health policies and systems at all levels.</w:t>
      </w:r>
    </w:p>
    <w:p w14:paraId="455767E3" w14:textId="77777777" w:rsidR="00567FE2" w:rsidRPr="002F2E1F" w:rsidRDefault="00567FE2" w:rsidP="002F2E1F">
      <w:pPr>
        <w:spacing w:after="0"/>
        <w:jc w:val="both"/>
        <w:rPr>
          <w:rFonts w:ascii="Arial" w:hAnsi="Arial" w:cs="Arial"/>
          <w:sz w:val="22"/>
          <w:szCs w:val="22"/>
        </w:rPr>
      </w:pPr>
    </w:p>
    <w:p w14:paraId="348E9F8F" w14:textId="73FA1E0A"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Evidence presented during WHA 7</w:t>
      </w:r>
      <w:r w:rsidR="00A162D8">
        <w:rPr>
          <w:rFonts w:ascii="Arial" w:hAnsi="Arial" w:cs="Arial"/>
          <w:sz w:val="22"/>
          <w:szCs w:val="22"/>
        </w:rPr>
        <w:t>7</w:t>
      </w:r>
      <w:r w:rsidRPr="002F2E1F">
        <w:rPr>
          <w:rFonts w:ascii="Arial" w:hAnsi="Arial" w:cs="Arial"/>
          <w:sz w:val="22"/>
          <w:szCs w:val="22"/>
        </w:rPr>
        <w:t xml:space="preserve"> highlighted that when communities are empowered to co-design, monitor, and evaluate health interventions, outcomes tend to be more equitable, sustainable, and responsive to people’s needs. However, many countries still grapple with how to institutionalize SPH within varied governance structures</w:t>
      </w:r>
      <w:r w:rsidR="00567FE2">
        <w:rPr>
          <w:rFonts w:ascii="Arial" w:hAnsi="Arial" w:cs="Arial"/>
          <w:sz w:val="22"/>
          <w:szCs w:val="22"/>
        </w:rPr>
        <w:t xml:space="preserve">; </w:t>
      </w:r>
      <w:r w:rsidRPr="002F2E1F">
        <w:rPr>
          <w:rFonts w:ascii="Arial" w:hAnsi="Arial" w:cs="Arial"/>
          <w:sz w:val="22"/>
          <w:szCs w:val="22"/>
        </w:rPr>
        <w:t>a challenge SPHERE seeks to address through country-focused advocacy-research in Argentina, Kenya, Tunisia, and Vietnam. These efforts document implementation lessons from existing participatory mechanisms and translate them into practical guidance for governments and civil society actors seeking to strengthen inclusive health governance.</w:t>
      </w:r>
    </w:p>
    <w:p w14:paraId="5E8BFC53" w14:textId="77777777" w:rsidR="002F2E1F" w:rsidRPr="002F2E1F" w:rsidRDefault="00000000" w:rsidP="002F2E1F">
      <w:pPr>
        <w:spacing w:after="0"/>
        <w:jc w:val="both"/>
        <w:rPr>
          <w:rFonts w:ascii="Arial" w:hAnsi="Arial" w:cs="Arial"/>
          <w:sz w:val="22"/>
          <w:szCs w:val="22"/>
        </w:rPr>
      </w:pPr>
      <w:r>
        <w:rPr>
          <w:rFonts w:ascii="Arial" w:hAnsi="Arial" w:cs="Arial"/>
          <w:sz w:val="22"/>
          <w:szCs w:val="22"/>
        </w:rPr>
        <w:pict w14:anchorId="14A187B2">
          <v:rect id="_x0000_i1026" style="width:0;height:1.5pt" o:hralign="center" o:hrstd="t" o:hr="t" fillcolor="#a0a0a0" stroked="f"/>
        </w:pict>
      </w:r>
    </w:p>
    <w:p w14:paraId="3B5BF204"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HENNET’s Presentation</w:t>
      </w:r>
    </w:p>
    <w:p w14:paraId="51605294" w14:textId="2937FFAE"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lastRenderedPageBreak/>
        <w:t xml:space="preserve">During the SPHERE-hosted side event, HENNET presented insights on </w:t>
      </w:r>
      <w:r w:rsidR="00A162D8">
        <w:rPr>
          <w:rFonts w:ascii="Arial" w:hAnsi="Arial" w:cs="Arial"/>
          <w:sz w:val="22"/>
          <w:szCs w:val="22"/>
        </w:rPr>
        <w:t>s</w:t>
      </w:r>
      <w:r w:rsidRPr="002F2E1F">
        <w:rPr>
          <w:rFonts w:ascii="Arial" w:hAnsi="Arial" w:cs="Arial"/>
          <w:sz w:val="22"/>
          <w:szCs w:val="22"/>
        </w:rPr>
        <w:t xml:space="preserve">ocial </w:t>
      </w:r>
      <w:r w:rsidR="00A162D8">
        <w:rPr>
          <w:rFonts w:ascii="Arial" w:hAnsi="Arial" w:cs="Arial"/>
          <w:sz w:val="22"/>
          <w:szCs w:val="22"/>
        </w:rPr>
        <w:t>p</w:t>
      </w:r>
      <w:r w:rsidRPr="002F2E1F">
        <w:rPr>
          <w:rFonts w:ascii="Arial" w:hAnsi="Arial" w:cs="Arial"/>
          <w:sz w:val="22"/>
          <w:szCs w:val="22"/>
        </w:rPr>
        <w:t xml:space="preserve">articipation for </w:t>
      </w:r>
      <w:r w:rsidR="00A162D8">
        <w:rPr>
          <w:rFonts w:ascii="Arial" w:hAnsi="Arial" w:cs="Arial"/>
          <w:sz w:val="22"/>
          <w:szCs w:val="22"/>
        </w:rPr>
        <w:t>h</w:t>
      </w:r>
      <w:r w:rsidRPr="002F2E1F">
        <w:rPr>
          <w:rFonts w:ascii="Arial" w:hAnsi="Arial" w:cs="Arial"/>
          <w:sz w:val="22"/>
          <w:szCs w:val="22"/>
        </w:rPr>
        <w:t>ealth in Kenya (</w:t>
      </w:r>
      <w:hyperlink r:id="rId13" w:history="1">
        <w:r w:rsidRPr="00F70625">
          <w:rPr>
            <w:rStyle w:val="Hyperlink"/>
            <w:rFonts w:ascii="Arial" w:hAnsi="Arial" w:cs="Arial"/>
            <w:sz w:val="22"/>
            <w:szCs w:val="22"/>
          </w:rPr>
          <w:t xml:space="preserve">see </w:t>
        </w:r>
        <w:r w:rsidR="00F70625">
          <w:rPr>
            <w:rStyle w:val="Hyperlink"/>
            <w:rFonts w:ascii="Arial" w:hAnsi="Arial" w:cs="Arial"/>
            <w:sz w:val="22"/>
            <w:szCs w:val="22"/>
          </w:rPr>
          <w:t>linked</w:t>
        </w:r>
        <w:r w:rsidRPr="00F70625">
          <w:rPr>
            <w:rStyle w:val="Hyperlink"/>
            <w:rFonts w:ascii="Arial" w:hAnsi="Arial" w:cs="Arial"/>
            <w:sz w:val="22"/>
            <w:szCs w:val="22"/>
          </w:rPr>
          <w:t xml:space="preserve"> presentation</w:t>
        </w:r>
      </w:hyperlink>
      <w:r w:rsidRPr="002F2E1F">
        <w:rPr>
          <w:rFonts w:ascii="Arial" w:hAnsi="Arial" w:cs="Arial"/>
          <w:sz w:val="22"/>
          <w:szCs w:val="22"/>
        </w:rPr>
        <w:t>). The presentation drew on research conducted jointly with the Africa Institute for Health and Development (AIHD) and illustrated Kenya’s progress, challenges, and opportunities in operationalizing participatory governance within the health sector.</w:t>
      </w:r>
    </w:p>
    <w:p w14:paraId="774CCA69" w14:textId="77777777"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Key highlights included:</w:t>
      </w:r>
    </w:p>
    <w:p w14:paraId="57FE0565" w14:textId="77777777" w:rsidR="002F2E1F" w:rsidRPr="002F2E1F" w:rsidRDefault="002F2E1F" w:rsidP="002F2E1F">
      <w:pPr>
        <w:numPr>
          <w:ilvl w:val="0"/>
          <w:numId w:val="6"/>
        </w:numPr>
        <w:spacing w:after="0"/>
        <w:jc w:val="both"/>
        <w:rPr>
          <w:rFonts w:ascii="Arial" w:hAnsi="Arial" w:cs="Arial"/>
          <w:sz w:val="22"/>
          <w:szCs w:val="22"/>
        </w:rPr>
      </w:pPr>
      <w:r w:rsidRPr="002F2E1F">
        <w:rPr>
          <w:rFonts w:ascii="Arial" w:hAnsi="Arial" w:cs="Arial"/>
          <w:sz w:val="22"/>
          <w:szCs w:val="22"/>
        </w:rPr>
        <w:t>Kenya’s constitutional commitment to public participation (Article 10 and 174(c) of the Constitution of Kenya 2010), which establishes citizen engagement as a national value and principle of governance.</w:t>
      </w:r>
    </w:p>
    <w:p w14:paraId="4721D938" w14:textId="77777777" w:rsidR="002F2E1F" w:rsidRPr="002F2E1F" w:rsidRDefault="002F2E1F" w:rsidP="002F2E1F">
      <w:pPr>
        <w:numPr>
          <w:ilvl w:val="0"/>
          <w:numId w:val="6"/>
        </w:numPr>
        <w:spacing w:after="0"/>
        <w:jc w:val="both"/>
        <w:rPr>
          <w:rFonts w:ascii="Arial" w:hAnsi="Arial" w:cs="Arial"/>
          <w:sz w:val="22"/>
          <w:szCs w:val="22"/>
        </w:rPr>
      </w:pPr>
      <w:r w:rsidRPr="002F2E1F">
        <w:rPr>
          <w:rFonts w:ascii="Arial" w:hAnsi="Arial" w:cs="Arial"/>
          <w:sz w:val="22"/>
          <w:szCs w:val="22"/>
        </w:rPr>
        <w:t>The country’s devolved governance framework, which creates space for county-level participation in health planning, budgeting, and oversight.</w:t>
      </w:r>
    </w:p>
    <w:p w14:paraId="789717E6" w14:textId="77777777" w:rsidR="002F2E1F" w:rsidRPr="002F2E1F" w:rsidRDefault="002F2E1F" w:rsidP="002F2E1F">
      <w:pPr>
        <w:numPr>
          <w:ilvl w:val="0"/>
          <w:numId w:val="6"/>
        </w:numPr>
        <w:spacing w:after="0"/>
        <w:jc w:val="both"/>
        <w:rPr>
          <w:rFonts w:ascii="Arial" w:hAnsi="Arial" w:cs="Arial"/>
          <w:sz w:val="22"/>
          <w:szCs w:val="22"/>
        </w:rPr>
      </w:pPr>
      <w:r w:rsidRPr="002F2E1F">
        <w:rPr>
          <w:rFonts w:ascii="Arial" w:hAnsi="Arial" w:cs="Arial"/>
          <w:sz w:val="22"/>
          <w:szCs w:val="22"/>
        </w:rPr>
        <w:t>Persistent gaps in legal harmonization and practice, with varying degrees of inclusivity and consistency across counties.</w:t>
      </w:r>
    </w:p>
    <w:p w14:paraId="6C015EF6" w14:textId="64588B1A"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HENNET underscored that to strengthen these mechanisms, Kenya needs a comprehensive Public Participation Act to institutionalize and standardize engagement across national and county levels. Such a framework would embed social participation in law</w:t>
      </w:r>
      <w:r w:rsidR="00567FE2">
        <w:rPr>
          <w:rFonts w:ascii="Arial" w:hAnsi="Arial" w:cs="Arial"/>
          <w:sz w:val="22"/>
          <w:szCs w:val="22"/>
        </w:rPr>
        <w:t xml:space="preserve">, </w:t>
      </w:r>
      <w:r w:rsidRPr="002F2E1F">
        <w:rPr>
          <w:rFonts w:ascii="Arial" w:hAnsi="Arial" w:cs="Arial"/>
          <w:sz w:val="22"/>
          <w:szCs w:val="22"/>
        </w:rPr>
        <w:t>ensuring sustainability, accountability, and equitable service delivery aligned with UHC goals.</w:t>
      </w:r>
      <w:r w:rsidR="00567FE2">
        <w:rPr>
          <w:rFonts w:ascii="Arial" w:hAnsi="Arial" w:cs="Arial"/>
          <w:sz w:val="22"/>
          <w:szCs w:val="22"/>
        </w:rPr>
        <w:t xml:space="preserve">  </w:t>
      </w:r>
      <w:r w:rsidRPr="002F2E1F">
        <w:rPr>
          <w:rFonts w:ascii="Arial" w:hAnsi="Arial" w:cs="Arial"/>
          <w:sz w:val="22"/>
          <w:szCs w:val="22"/>
        </w:rPr>
        <w:t>At the time of WHA 7</w:t>
      </w:r>
      <w:r w:rsidR="00A162D8">
        <w:rPr>
          <w:rFonts w:ascii="Arial" w:hAnsi="Arial" w:cs="Arial"/>
          <w:sz w:val="22"/>
          <w:szCs w:val="22"/>
        </w:rPr>
        <w:t>7</w:t>
      </w:r>
      <w:r w:rsidRPr="002F2E1F">
        <w:rPr>
          <w:rFonts w:ascii="Arial" w:hAnsi="Arial" w:cs="Arial"/>
          <w:sz w:val="22"/>
          <w:szCs w:val="22"/>
        </w:rPr>
        <w:t>, HENNET was already lobbying for this legislation while mobilizing civil society and community actors to demand structured, evidence-based participation in health decision-making processes.</w:t>
      </w:r>
    </w:p>
    <w:p w14:paraId="0BA4F02B" w14:textId="77777777" w:rsidR="002F2E1F" w:rsidRPr="002F2E1F" w:rsidRDefault="00000000" w:rsidP="002F2E1F">
      <w:pPr>
        <w:spacing w:after="0"/>
        <w:jc w:val="both"/>
        <w:rPr>
          <w:rFonts w:ascii="Arial" w:hAnsi="Arial" w:cs="Arial"/>
          <w:sz w:val="22"/>
          <w:szCs w:val="22"/>
        </w:rPr>
      </w:pPr>
      <w:r>
        <w:rPr>
          <w:rFonts w:ascii="Arial" w:hAnsi="Arial" w:cs="Arial"/>
          <w:sz w:val="22"/>
          <w:szCs w:val="22"/>
        </w:rPr>
        <w:pict w14:anchorId="13DF64A0">
          <v:rect id="_x0000_i1027" style="width:0;height:1.5pt" o:hralign="center" o:hrstd="t" o:hr="t" fillcolor="#a0a0a0" stroked="f"/>
        </w:pict>
      </w:r>
    </w:p>
    <w:p w14:paraId="519E4B35"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Global and Regional Context</w:t>
      </w:r>
    </w:p>
    <w:p w14:paraId="40B802D3" w14:textId="33DD5CEE"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The deliberations at WHA 7</w:t>
      </w:r>
      <w:r w:rsidR="00A162D8">
        <w:rPr>
          <w:rFonts w:ascii="Arial" w:hAnsi="Arial" w:cs="Arial"/>
          <w:sz w:val="22"/>
          <w:szCs w:val="22"/>
        </w:rPr>
        <w:t>7</w:t>
      </w:r>
      <w:r w:rsidRPr="002F2E1F">
        <w:rPr>
          <w:rFonts w:ascii="Arial" w:hAnsi="Arial" w:cs="Arial"/>
          <w:sz w:val="22"/>
          <w:szCs w:val="22"/>
        </w:rPr>
        <w:t xml:space="preserve"> took place against a backdrop of growing global consensus that people-centred governance is foundational to achieving health for all. WHO and partners emphasized that social participation is not an optional component but rather a pillar of resilient, inclusive, and equitable health systems.</w:t>
      </w:r>
    </w:p>
    <w:p w14:paraId="6E5138EF" w14:textId="77777777"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Key developments and takeaways relevant to HENNET included:</w:t>
      </w:r>
    </w:p>
    <w:p w14:paraId="3D021253" w14:textId="77777777" w:rsidR="002F2E1F" w:rsidRPr="002F2E1F" w:rsidRDefault="002F2E1F" w:rsidP="002F2E1F">
      <w:pPr>
        <w:numPr>
          <w:ilvl w:val="0"/>
          <w:numId w:val="7"/>
        </w:numPr>
        <w:spacing w:after="0"/>
        <w:jc w:val="both"/>
        <w:rPr>
          <w:rFonts w:ascii="Arial" w:hAnsi="Arial" w:cs="Arial"/>
          <w:sz w:val="22"/>
          <w:szCs w:val="22"/>
        </w:rPr>
      </w:pPr>
      <w:r w:rsidRPr="002F2E1F">
        <w:rPr>
          <w:rFonts w:ascii="Arial" w:hAnsi="Arial" w:cs="Arial"/>
          <w:sz w:val="22"/>
          <w:szCs w:val="22"/>
        </w:rPr>
        <w:t>The WHO’s continued emphasis on community empowerment as articulated in the Declaration of Astana (2018) on Primary Health Care and reaffirmed in the UHC2030 Action Agenda (2023).</w:t>
      </w:r>
    </w:p>
    <w:p w14:paraId="1385CA67" w14:textId="77777777" w:rsidR="002F2E1F" w:rsidRPr="002F2E1F" w:rsidRDefault="002F2E1F" w:rsidP="002F2E1F">
      <w:pPr>
        <w:numPr>
          <w:ilvl w:val="0"/>
          <w:numId w:val="7"/>
        </w:numPr>
        <w:spacing w:after="0"/>
        <w:jc w:val="both"/>
        <w:rPr>
          <w:rFonts w:ascii="Arial" w:hAnsi="Arial" w:cs="Arial"/>
          <w:sz w:val="22"/>
          <w:szCs w:val="22"/>
        </w:rPr>
      </w:pPr>
      <w:r w:rsidRPr="002F2E1F">
        <w:rPr>
          <w:rFonts w:ascii="Arial" w:hAnsi="Arial" w:cs="Arial"/>
          <w:sz w:val="22"/>
          <w:szCs w:val="22"/>
        </w:rPr>
        <w:t>Increasing recognition by Member States and civil society that public participation bridges the trust gap between governments and citizens, leading to better policy design, accountability, and uptake of health interventions.</w:t>
      </w:r>
    </w:p>
    <w:p w14:paraId="0EB29981" w14:textId="1C9BE3D5" w:rsidR="002F2E1F" w:rsidRPr="002F2E1F" w:rsidRDefault="002F2E1F" w:rsidP="002F2E1F">
      <w:pPr>
        <w:numPr>
          <w:ilvl w:val="0"/>
          <w:numId w:val="7"/>
        </w:numPr>
        <w:spacing w:after="0"/>
        <w:jc w:val="both"/>
        <w:rPr>
          <w:rFonts w:ascii="Arial" w:hAnsi="Arial" w:cs="Arial"/>
          <w:sz w:val="22"/>
          <w:szCs w:val="22"/>
        </w:rPr>
      </w:pPr>
      <w:r w:rsidRPr="002F2E1F">
        <w:rPr>
          <w:rFonts w:ascii="Arial" w:hAnsi="Arial" w:cs="Arial"/>
          <w:sz w:val="22"/>
          <w:szCs w:val="22"/>
        </w:rPr>
        <w:t>Early discussions</w:t>
      </w:r>
      <w:r w:rsidR="00DF4A18">
        <w:rPr>
          <w:rFonts w:ascii="Arial" w:hAnsi="Arial" w:cs="Arial"/>
          <w:sz w:val="22"/>
          <w:szCs w:val="22"/>
        </w:rPr>
        <w:t xml:space="preserve"> </w:t>
      </w:r>
      <w:r w:rsidR="00DF4A18" w:rsidRPr="00DF4A18">
        <w:rPr>
          <w:rFonts w:ascii="Arial" w:hAnsi="Arial" w:cs="Arial"/>
          <w:sz w:val="22"/>
          <w:szCs w:val="22"/>
        </w:rPr>
        <w:t>culminated in a major global milestone: the adoption of the Resolution on Social Participation for Health at the 77th World Health Assembly. The resolution</w:t>
      </w:r>
      <w:r w:rsidR="00DF4A18">
        <w:rPr>
          <w:rFonts w:ascii="Arial" w:hAnsi="Arial" w:cs="Arial"/>
          <w:sz w:val="22"/>
          <w:szCs w:val="22"/>
        </w:rPr>
        <w:t xml:space="preserve"> </w:t>
      </w:r>
      <w:r w:rsidR="00DF4A18" w:rsidRPr="00DF4A18">
        <w:rPr>
          <w:rFonts w:ascii="Arial" w:hAnsi="Arial" w:cs="Arial"/>
          <w:sz w:val="22"/>
          <w:szCs w:val="22"/>
        </w:rPr>
        <w:t>recognizes social participation as a core component of resilient, people-</w:t>
      </w:r>
      <w:proofErr w:type="spellStart"/>
      <w:r w:rsidR="00DF4A18" w:rsidRPr="00DF4A18">
        <w:rPr>
          <w:rFonts w:ascii="Arial" w:hAnsi="Arial" w:cs="Arial"/>
          <w:sz w:val="22"/>
          <w:szCs w:val="22"/>
        </w:rPr>
        <w:t>centred</w:t>
      </w:r>
      <w:proofErr w:type="spellEnd"/>
      <w:r w:rsidR="00DF4A18" w:rsidRPr="00DF4A18">
        <w:rPr>
          <w:rFonts w:ascii="Arial" w:hAnsi="Arial" w:cs="Arial"/>
          <w:sz w:val="22"/>
          <w:szCs w:val="22"/>
        </w:rPr>
        <w:t xml:space="preserve"> health systems and calls on Member States to institutionalize mechanisms that enable communities, civil society, and marginalized groups to meaningfully influence health policy and decision-making. It outlines commitments to strengthen legal and policy frameworks, invest in participatory structures at national and sub-national levels, and embed inclusive approaches such as community dialogue, public consultation, and co-creation of health strategies. By endorsing this resolution, the global community </w:t>
      </w:r>
      <w:r w:rsidR="00DF4A18">
        <w:rPr>
          <w:rFonts w:ascii="Arial" w:hAnsi="Arial" w:cs="Arial"/>
          <w:sz w:val="22"/>
          <w:szCs w:val="22"/>
        </w:rPr>
        <w:t xml:space="preserve">demonstrated </w:t>
      </w:r>
      <w:r w:rsidR="00DF4A18" w:rsidRPr="00DF4A18">
        <w:rPr>
          <w:rFonts w:ascii="Arial" w:hAnsi="Arial" w:cs="Arial"/>
          <w:sz w:val="22"/>
          <w:szCs w:val="22"/>
        </w:rPr>
        <w:t>its readiness not only to reaffirm but to operationalize the social participation commitments first articulated in 2023, marking a significant shift toward more accountable, equitable, and responsive health governance</w:t>
      </w:r>
    </w:p>
    <w:p w14:paraId="74B7934C" w14:textId="77777777" w:rsidR="002F2E1F" w:rsidRPr="002F2E1F" w:rsidRDefault="00000000" w:rsidP="002F2E1F">
      <w:pPr>
        <w:spacing w:after="0"/>
        <w:jc w:val="both"/>
        <w:rPr>
          <w:rFonts w:ascii="Arial" w:hAnsi="Arial" w:cs="Arial"/>
          <w:sz w:val="22"/>
          <w:szCs w:val="22"/>
        </w:rPr>
      </w:pPr>
      <w:r>
        <w:rPr>
          <w:rFonts w:ascii="Arial" w:hAnsi="Arial" w:cs="Arial"/>
          <w:sz w:val="22"/>
          <w:szCs w:val="22"/>
        </w:rPr>
        <w:pict w14:anchorId="7C2400FF">
          <v:rect id="_x0000_i1028" style="width:0;height:1.5pt" o:hralign="center" o:hrstd="t" o:hr="t" fillcolor="#a0a0a0" stroked="f"/>
        </w:pict>
      </w:r>
    </w:p>
    <w:p w14:paraId="419AB59B"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Implications for Kenya and HENNET’s Work</w:t>
      </w:r>
    </w:p>
    <w:p w14:paraId="6735E3D5" w14:textId="4E42F34C"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lastRenderedPageBreak/>
        <w:t xml:space="preserve">For Kenya, the outcomes of WHA </w:t>
      </w:r>
      <w:r w:rsidR="00A162D8">
        <w:rPr>
          <w:rFonts w:ascii="Arial" w:hAnsi="Arial" w:cs="Arial"/>
          <w:sz w:val="22"/>
          <w:szCs w:val="22"/>
        </w:rPr>
        <w:t>77</w:t>
      </w:r>
      <w:r w:rsidRPr="002F2E1F">
        <w:rPr>
          <w:rFonts w:ascii="Arial" w:hAnsi="Arial" w:cs="Arial"/>
          <w:sz w:val="22"/>
          <w:szCs w:val="22"/>
        </w:rPr>
        <w:t xml:space="preserve"> reinforced the urgency of institutionalizing participation in the health sector. HENNET’s advocacy aligns with this global momentum and positions the Network as a key civil society voice shaping how participatory governance translates into practice.</w:t>
      </w:r>
    </w:p>
    <w:p w14:paraId="19724B22" w14:textId="77777777"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Through its research partnerships and policy engagement, HENNET continues to:</w:t>
      </w:r>
    </w:p>
    <w:p w14:paraId="50B90847" w14:textId="77777777" w:rsidR="002F2E1F" w:rsidRPr="002F2E1F" w:rsidRDefault="002F2E1F" w:rsidP="002F2E1F">
      <w:pPr>
        <w:numPr>
          <w:ilvl w:val="0"/>
          <w:numId w:val="8"/>
        </w:numPr>
        <w:spacing w:after="0"/>
        <w:jc w:val="both"/>
        <w:rPr>
          <w:rFonts w:ascii="Arial" w:hAnsi="Arial" w:cs="Arial"/>
          <w:sz w:val="22"/>
          <w:szCs w:val="22"/>
        </w:rPr>
      </w:pPr>
      <w:r w:rsidRPr="002F2E1F">
        <w:rPr>
          <w:rFonts w:ascii="Arial" w:hAnsi="Arial" w:cs="Arial"/>
          <w:sz w:val="22"/>
          <w:szCs w:val="22"/>
        </w:rPr>
        <w:t>Strengthen the evidence base on the impact of social participation in Kenya’s health governance.</w:t>
      </w:r>
    </w:p>
    <w:p w14:paraId="657F7D15" w14:textId="77777777" w:rsidR="002F2E1F" w:rsidRPr="002F2E1F" w:rsidRDefault="002F2E1F" w:rsidP="002F2E1F">
      <w:pPr>
        <w:numPr>
          <w:ilvl w:val="0"/>
          <w:numId w:val="8"/>
        </w:numPr>
        <w:spacing w:after="0"/>
        <w:jc w:val="both"/>
        <w:rPr>
          <w:rFonts w:ascii="Arial" w:hAnsi="Arial" w:cs="Arial"/>
          <w:sz w:val="22"/>
          <w:szCs w:val="22"/>
        </w:rPr>
      </w:pPr>
      <w:r w:rsidRPr="002F2E1F">
        <w:rPr>
          <w:rFonts w:ascii="Arial" w:hAnsi="Arial" w:cs="Arial"/>
          <w:sz w:val="22"/>
          <w:szCs w:val="22"/>
        </w:rPr>
        <w:t>Advocate for a national Public Participation Act that harmonizes engagement mechanisms and promotes inclusive decision-making.</w:t>
      </w:r>
    </w:p>
    <w:p w14:paraId="66EE810B" w14:textId="77777777" w:rsidR="002F2E1F" w:rsidRPr="002F2E1F" w:rsidRDefault="002F2E1F" w:rsidP="002F2E1F">
      <w:pPr>
        <w:numPr>
          <w:ilvl w:val="0"/>
          <w:numId w:val="8"/>
        </w:numPr>
        <w:spacing w:after="0"/>
        <w:jc w:val="both"/>
        <w:rPr>
          <w:rFonts w:ascii="Arial" w:hAnsi="Arial" w:cs="Arial"/>
          <w:sz w:val="22"/>
          <w:szCs w:val="22"/>
        </w:rPr>
      </w:pPr>
      <w:r w:rsidRPr="002F2E1F">
        <w:rPr>
          <w:rFonts w:ascii="Arial" w:hAnsi="Arial" w:cs="Arial"/>
          <w:sz w:val="22"/>
          <w:szCs w:val="22"/>
        </w:rPr>
        <w:t>Support county health stakeholders and CSOs to build capacity for participatory planning and accountability.</w:t>
      </w:r>
    </w:p>
    <w:p w14:paraId="66D96AD8" w14:textId="77777777" w:rsidR="002F2E1F" w:rsidRPr="002F2E1F" w:rsidRDefault="002F2E1F" w:rsidP="002F2E1F">
      <w:pPr>
        <w:numPr>
          <w:ilvl w:val="0"/>
          <w:numId w:val="8"/>
        </w:numPr>
        <w:spacing w:after="0"/>
        <w:jc w:val="both"/>
        <w:rPr>
          <w:rFonts w:ascii="Arial" w:hAnsi="Arial" w:cs="Arial"/>
          <w:sz w:val="22"/>
          <w:szCs w:val="22"/>
        </w:rPr>
      </w:pPr>
      <w:r w:rsidRPr="002F2E1F">
        <w:rPr>
          <w:rFonts w:ascii="Arial" w:hAnsi="Arial" w:cs="Arial"/>
          <w:sz w:val="22"/>
          <w:szCs w:val="22"/>
        </w:rPr>
        <w:t>Contribute Kenya’s experiences to global platforms such as UHC2030, CSEM, and SPHERE, ensuring that local lessons inform international practice and vice versa.</w:t>
      </w:r>
    </w:p>
    <w:p w14:paraId="3DE4D73B" w14:textId="77777777" w:rsidR="002F2E1F" w:rsidRPr="002F2E1F" w:rsidRDefault="00000000" w:rsidP="002F2E1F">
      <w:pPr>
        <w:spacing w:after="0"/>
        <w:jc w:val="both"/>
        <w:rPr>
          <w:rFonts w:ascii="Arial" w:hAnsi="Arial" w:cs="Arial"/>
          <w:sz w:val="22"/>
          <w:szCs w:val="22"/>
        </w:rPr>
      </w:pPr>
      <w:r>
        <w:rPr>
          <w:rFonts w:ascii="Arial" w:hAnsi="Arial" w:cs="Arial"/>
          <w:sz w:val="22"/>
          <w:szCs w:val="22"/>
        </w:rPr>
        <w:pict w14:anchorId="0C4743A8">
          <v:rect id="_x0000_i1029" style="width:0;height:1.5pt" o:hralign="center" o:hrstd="t" o:hr="t" fillcolor="#a0a0a0" stroked="f"/>
        </w:pict>
      </w:r>
    </w:p>
    <w:p w14:paraId="0F21C874" w14:textId="77777777" w:rsidR="002F2E1F" w:rsidRPr="002F2E1F" w:rsidRDefault="002F2E1F" w:rsidP="002F2E1F">
      <w:pPr>
        <w:spacing w:after="0"/>
        <w:jc w:val="both"/>
        <w:rPr>
          <w:rFonts w:ascii="Arial" w:hAnsi="Arial" w:cs="Arial"/>
          <w:b/>
          <w:bCs/>
          <w:sz w:val="22"/>
          <w:szCs w:val="22"/>
        </w:rPr>
      </w:pPr>
      <w:r w:rsidRPr="002F2E1F">
        <w:rPr>
          <w:rFonts w:ascii="Arial" w:hAnsi="Arial" w:cs="Arial"/>
          <w:b/>
          <w:bCs/>
          <w:sz w:val="22"/>
          <w:szCs w:val="22"/>
        </w:rPr>
        <w:t>Conclusion and Way Forward</w:t>
      </w:r>
    </w:p>
    <w:p w14:paraId="1E13D1B3" w14:textId="393F9DF5"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The 7</w:t>
      </w:r>
      <w:r w:rsidR="00A162D8">
        <w:rPr>
          <w:rFonts w:ascii="Arial" w:hAnsi="Arial" w:cs="Arial"/>
          <w:sz w:val="22"/>
          <w:szCs w:val="22"/>
        </w:rPr>
        <w:t>7</w:t>
      </w:r>
      <w:r w:rsidRPr="002F2E1F">
        <w:rPr>
          <w:rFonts w:ascii="Arial" w:hAnsi="Arial" w:cs="Arial"/>
          <w:sz w:val="22"/>
          <w:szCs w:val="22"/>
        </w:rPr>
        <w:t>th World Health Assembly was a milestone in advancing the global conversation on social participation as a pathway to stronger, fairer, and more accountable health systems. For HENNET, participation in WHA 7</w:t>
      </w:r>
      <w:r w:rsidR="00A162D8">
        <w:rPr>
          <w:rFonts w:ascii="Arial" w:hAnsi="Arial" w:cs="Arial"/>
          <w:sz w:val="22"/>
          <w:szCs w:val="22"/>
        </w:rPr>
        <w:t>7</w:t>
      </w:r>
      <w:r w:rsidRPr="002F2E1F">
        <w:rPr>
          <w:rFonts w:ascii="Arial" w:hAnsi="Arial" w:cs="Arial"/>
          <w:sz w:val="22"/>
          <w:szCs w:val="22"/>
        </w:rPr>
        <w:t xml:space="preserve"> strengthened partnerships, deepened learning, and affirmed our strategic direction as a champion of community-driven health governance in Kenya.</w:t>
      </w:r>
    </w:p>
    <w:p w14:paraId="79608568" w14:textId="589B9D4A" w:rsidR="002F2E1F" w:rsidRPr="002F2E1F" w:rsidRDefault="002F2E1F" w:rsidP="002F2E1F">
      <w:pPr>
        <w:spacing w:after="0"/>
        <w:jc w:val="both"/>
        <w:rPr>
          <w:rFonts w:ascii="Arial" w:hAnsi="Arial" w:cs="Arial"/>
          <w:sz w:val="22"/>
          <w:szCs w:val="22"/>
        </w:rPr>
      </w:pPr>
      <w:r w:rsidRPr="002F2E1F">
        <w:rPr>
          <w:rFonts w:ascii="Arial" w:hAnsi="Arial" w:cs="Arial"/>
          <w:sz w:val="22"/>
          <w:szCs w:val="22"/>
        </w:rPr>
        <w:t>As we move forward, HENNET will continue to build on the foundations laid at WHA 7</w:t>
      </w:r>
      <w:r w:rsidR="00A162D8">
        <w:rPr>
          <w:rFonts w:ascii="Arial" w:hAnsi="Arial" w:cs="Arial"/>
          <w:sz w:val="22"/>
          <w:szCs w:val="22"/>
        </w:rPr>
        <w:t>7</w:t>
      </w:r>
      <w:r w:rsidRPr="002F2E1F">
        <w:rPr>
          <w:rFonts w:ascii="Arial" w:hAnsi="Arial" w:cs="Arial"/>
          <w:sz w:val="22"/>
          <w:szCs w:val="22"/>
        </w:rPr>
        <w:t xml:space="preserve"> by:</w:t>
      </w:r>
    </w:p>
    <w:p w14:paraId="06EAEEA1" w14:textId="77777777" w:rsidR="002F2E1F" w:rsidRPr="002F2E1F" w:rsidRDefault="002F2E1F" w:rsidP="002F2E1F">
      <w:pPr>
        <w:numPr>
          <w:ilvl w:val="0"/>
          <w:numId w:val="9"/>
        </w:numPr>
        <w:spacing w:after="0"/>
        <w:jc w:val="both"/>
        <w:rPr>
          <w:rFonts w:ascii="Arial" w:hAnsi="Arial" w:cs="Arial"/>
          <w:sz w:val="22"/>
          <w:szCs w:val="22"/>
        </w:rPr>
      </w:pPr>
      <w:r w:rsidRPr="002F2E1F">
        <w:rPr>
          <w:rFonts w:ascii="Arial" w:hAnsi="Arial" w:cs="Arial"/>
          <w:sz w:val="22"/>
          <w:szCs w:val="22"/>
        </w:rPr>
        <w:t>Engaging with policymakers to advance a Public Participation Act in Kenya;</w:t>
      </w:r>
    </w:p>
    <w:p w14:paraId="7DD15619" w14:textId="77777777" w:rsidR="002F2E1F" w:rsidRPr="002F2E1F" w:rsidRDefault="002F2E1F" w:rsidP="002F2E1F">
      <w:pPr>
        <w:numPr>
          <w:ilvl w:val="0"/>
          <w:numId w:val="9"/>
        </w:numPr>
        <w:spacing w:after="0"/>
        <w:jc w:val="both"/>
        <w:rPr>
          <w:rFonts w:ascii="Arial" w:hAnsi="Arial" w:cs="Arial"/>
          <w:sz w:val="22"/>
          <w:szCs w:val="22"/>
        </w:rPr>
      </w:pPr>
      <w:r w:rsidRPr="002F2E1F">
        <w:rPr>
          <w:rFonts w:ascii="Arial" w:hAnsi="Arial" w:cs="Arial"/>
          <w:sz w:val="22"/>
          <w:szCs w:val="22"/>
        </w:rPr>
        <w:t>Strengthening collaboration with SPHERE and UHC2030 to co-generate evidence and tools for participatory health governance; and</w:t>
      </w:r>
    </w:p>
    <w:p w14:paraId="7638A069" w14:textId="1963D671" w:rsidR="00567FE2" w:rsidRPr="00567FE2" w:rsidRDefault="002F2E1F" w:rsidP="00567FE2">
      <w:pPr>
        <w:numPr>
          <w:ilvl w:val="0"/>
          <w:numId w:val="9"/>
        </w:numPr>
        <w:spacing w:after="0"/>
        <w:jc w:val="both"/>
        <w:rPr>
          <w:rFonts w:ascii="Arial" w:hAnsi="Arial" w:cs="Arial"/>
          <w:sz w:val="20"/>
          <w:szCs w:val="20"/>
        </w:rPr>
      </w:pPr>
      <w:r w:rsidRPr="002F2E1F">
        <w:rPr>
          <w:rFonts w:ascii="Arial" w:hAnsi="Arial" w:cs="Arial"/>
          <w:sz w:val="22"/>
          <w:szCs w:val="22"/>
        </w:rPr>
        <w:t xml:space="preserve">Positioning Kenyan civil society as a thought leader in the global dialogue on </w:t>
      </w:r>
      <w:r w:rsidR="00DF4A18" w:rsidRPr="00DF4A18">
        <w:rPr>
          <w:rFonts w:ascii="Arial" w:hAnsi="Arial" w:cs="Arial"/>
          <w:sz w:val="22"/>
          <w:szCs w:val="22"/>
        </w:rPr>
        <w:t xml:space="preserve">"All for Health, Health for All," </w:t>
      </w:r>
    </w:p>
    <w:p w14:paraId="38643B87" w14:textId="77777777" w:rsidR="00567FE2" w:rsidRPr="00567FE2" w:rsidRDefault="00567FE2" w:rsidP="00567FE2">
      <w:pPr>
        <w:spacing w:after="0"/>
        <w:ind w:left="720"/>
        <w:jc w:val="both"/>
        <w:rPr>
          <w:rFonts w:ascii="Arial" w:hAnsi="Arial" w:cs="Arial"/>
          <w:sz w:val="20"/>
          <w:szCs w:val="20"/>
        </w:rPr>
      </w:pPr>
    </w:p>
    <w:p w14:paraId="134473F1" w14:textId="77777777" w:rsidR="00917E35" w:rsidRDefault="00917E35" w:rsidP="00567FE2">
      <w:pPr>
        <w:spacing w:after="0"/>
        <w:jc w:val="both"/>
        <w:rPr>
          <w:rFonts w:ascii="Arial" w:hAnsi="Arial" w:cs="Arial"/>
          <w:b/>
          <w:bCs/>
        </w:rPr>
      </w:pPr>
    </w:p>
    <w:p w14:paraId="31AE93A1" w14:textId="77777777" w:rsidR="00917E35" w:rsidRDefault="00917E35" w:rsidP="00567FE2">
      <w:pPr>
        <w:spacing w:after="0"/>
        <w:jc w:val="both"/>
        <w:rPr>
          <w:rFonts w:ascii="Arial" w:hAnsi="Arial" w:cs="Arial"/>
          <w:b/>
          <w:bCs/>
        </w:rPr>
      </w:pPr>
    </w:p>
    <w:p w14:paraId="2D4FBC98" w14:textId="1E1CF04B" w:rsidR="00D65E7D" w:rsidRPr="00917E35" w:rsidRDefault="00917E35" w:rsidP="00567FE2">
      <w:pPr>
        <w:spacing w:after="0"/>
        <w:jc w:val="both"/>
        <w:rPr>
          <w:rFonts w:ascii="Arial" w:hAnsi="Arial" w:cs="Arial"/>
          <w:b/>
          <w:bCs/>
        </w:rPr>
      </w:pPr>
      <w:r>
        <w:rPr>
          <w:rFonts w:ascii="Arial" w:hAnsi="Arial" w:cs="Arial"/>
          <w:b/>
          <w:bCs/>
        </w:rPr>
        <w:t>Report Prepared  by:</w:t>
      </w:r>
    </w:p>
    <w:p w14:paraId="41969DAB" w14:textId="77777777" w:rsidR="002C00BC" w:rsidRPr="00917E35" w:rsidRDefault="002C00BC" w:rsidP="002C00BC">
      <w:pPr>
        <w:spacing w:after="0"/>
        <w:jc w:val="both"/>
        <w:rPr>
          <w:rFonts w:ascii="Arial" w:hAnsi="Arial" w:cs="Arial"/>
          <w:b/>
          <w:bCs/>
        </w:rPr>
      </w:pPr>
      <w:r w:rsidRPr="00917E35">
        <w:rPr>
          <w:rFonts w:ascii="Arial" w:hAnsi="Arial" w:cs="Arial"/>
          <w:b/>
          <w:bCs/>
        </w:rPr>
        <w:t>Dr. Margaret Lubaale</w:t>
      </w:r>
    </w:p>
    <w:p w14:paraId="608D19A6" w14:textId="77777777" w:rsidR="002C00BC" w:rsidRPr="00917E35" w:rsidRDefault="002C00BC" w:rsidP="002C00BC">
      <w:pPr>
        <w:spacing w:after="0"/>
        <w:jc w:val="both"/>
        <w:rPr>
          <w:rFonts w:ascii="Arial" w:hAnsi="Arial" w:cs="Arial"/>
          <w:b/>
          <w:bCs/>
        </w:rPr>
      </w:pPr>
      <w:r w:rsidRPr="00917E35">
        <w:rPr>
          <w:rFonts w:ascii="Arial" w:hAnsi="Arial" w:cs="Arial"/>
          <w:b/>
          <w:bCs/>
        </w:rPr>
        <w:t>Executive Director</w:t>
      </w:r>
    </w:p>
    <w:p w14:paraId="54707958" w14:textId="77777777" w:rsidR="002C00BC" w:rsidRPr="00917E35" w:rsidRDefault="00D65E7D" w:rsidP="002C00BC">
      <w:pPr>
        <w:spacing w:after="0"/>
        <w:jc w:val="both"/>
        <w:rPr>
          <w:rFonts w:ascii="Arial" w:hAnsi="Arial" w:cs="Arial"/>
          <w:b/>
          <w:bCs/>
        </w:rPr>
      </w:pPr>
      <w:r w:rsidRPr="00917E35">
        <w:rPr>
          <w:rFonts w:ascii="Arial" w:hAnsi="Arial" w:cs="Arial"/>
          <w:b/>
          <w:bCs/>
        </w:rPr>
        <w:t>Health NGOs Network (HENNET)</w:t>
      </w:r>
    </w:p>
    <w:p w14:paraId="7806C558" w14:textId="77777777" w:rsidR="002C00BC" w:rsidRPr="00917E35" w:rsidRDefault="00D65E7D" w:rsidP="002C00BC">
      <w:pPr>
        <w:spacing w:after="0"/>
        <w:jc w:val="both"/>
        <w:rPr>
          <w:rFonts w:ascii="Arial" w:hAnsi="Arial" w:cs="Arial"/>
        </w:rPr>
      </w:pPr>
      <w:r w:rsidRPr="00917E35">
        <w:rPr>
          <w:rFonts w:ascii="Arial" w:hAnsi="Arial" w:cs="Arial"/>
        </w:rPr>
        <w:t xml:space="preserve">Email: </w:t>
      </w:r>
      <w:r w:rsidR="002C00BC" w:rsidRPr="00917E35">
        <w:rPr>
          <w:rFonts w:ascii="Arial" w:hAnsi="Arial" w:cs="Arial"/>
        </w:rPr>
        <w:t>Margaret.lubaale@hennet.or.ke</w:t>
      </w:r>
      <w:r w:rsidRPr="00917E35">
        <w:rPr>
          <w:rFonts w:ascii="Arial" w:hAnsi="Arial" w:cs="Arial"/>
        </w:rPr>
        <w:t xml:space="preserve"> | Website: [</w:t>
      </w:r>
      <w:hyperlink r:id="rId14" w:history="1">
        <w:r w:rsidR="002C00BC" w:rsidRPr="00917E35">
          <w:rPr>
            <w:rStyle w:val="Hyperlink"/>
            <w:rFonts w:ascii="Arial" w:hAnsi="Arial" w:cs="Arial"/>
          </w:rPr>
          <w:t>www.hennet.or.ke</w:t>
        </w:r>
      </w:hyperlink>
      <w:r w:rsidRPr="00917E35">
        <w:rPr>
          <w:rFonts w:ascii="Arial" w:hAnsi="Arial" w:cs="Arial"/>
        </w:rPr>
        <w:t>]</w:t>
      </w:r>
    </w:p>
    <w:p w14:paraId="6702D082" w14:textId="2629F65A" w:rsidR="00D65E7D" w:rsidRPr="00917E35" w:rsidRDefault="00D65E7D" w:rsidP="000D5116">
      <w:pPr>
        <w:spacing w:after="0"/>
        <w:jc w:val="both"/>
        <w:rPr>
          <w:rFonts w:ascii="Arial" w:hAnsi="Arial" w:cs="Arial"/>
          <w:b/>
          <w:bCs/>
          <w:sz w:val="20"/>
          <w:szCs w:val="20"/>
        </w:rPr>
      </w:pPr>
      <w:r w:rsidRPr="00917E35">
        <w:rPr>
          <w:rFonts w:ascii="Arial" w:hAnsi="Arial" w:cs="Arial"/>
          <w:b/>
          <w:bCs/>
          <w:sz w:val="20"/>
          <w:szCs w:val="20"/>
        </w:rPr>
        <w:br/>
      </w:r>
    </w:p>
    <w:sectPr w:rsidR="00D65E7D" w:rsidRPr="00917E35" w:rsidSect="002C00BC">
      <w:pgSz w:w="12240" w:h="15840"/>
      <w:pgMar w:top="1440" w:right="1041" w:bottom="1440" w:left="1440" w:header="708" w:footer="708" w:gutter="0"/>
      <w:pgBorders w:offsetFrom="page">
        <w:top w:val="single" w:sz="8" w:space="24" w:color="3A7C22" w:themeColor="accent6" w:themeShade="BF"/>
        <w:left w:val="single" w:sz="8" w:space="24" w:color="3A7C22" w:themeColor="accent6" w:themeShade="BF"/>
        <w:bottom w:val="single" w:sz="8" w:space="24" w:color="3A7C22" w:themeColor="accent6" w:themeShade="BF"/>
        <w:right w:val="single" w:sz="8"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2BCB6" w14:textId="77777777" w:rsidR="000172D0" w:rsidRDefault="000172D0" w:rsidP="002C00BC">
      <w:pPr>
        <w:spacing w:after="0" w:line="240" w:lineRule="auto"/>
      </w:pPr>
      <w:r>
        <w:separator/>
      </w:r>
    </w:p>
  </w:endnote>
  <w:endnote w:type="continuationSeparator" w:id="0">
    <w:p w14:paraId="6180511E" w14:textId="77777777" w:rsidR="000172D0" w:rsidRDefault="000172D0" w:rsidP="002C0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BF48" w14:textId="77777777" w:rsidR="000172D0" w:rsidRDefault="000172D0" w:rsidP="002C00BC">
      <w:pPr>
        <w:spacing w:after="0" w:line="240" w:lineRule="auto"/>
      </w:pPr>
      <w:r>
        <w:separator/>
      </w:r>
    </w:p>
  </w:footnote>
  <w:footnote w:type="continuationSeparator" w:id="0">
    <w:p w14:paraId="6D8B673C" w14:textId="77777777" w:rsidR="000172D0" w:rsidRDefault="000172D0" w:rsidP="002C00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778A6"/>
    <w:multiLevelType w:val="multilevel"/>
    <w:tmpl w:val="9FF29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3C4E42"/>
    <w:multiLevelType w:val="multilevel"/>
    <w:tmpl w:val="0040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17E76"/>
    <w:multiLevelType w:val="multilevel"/>
    <w:tmpl w:val="B5AC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CF0FFD"/>
    <w:multiLevelType w:val="multilevel"/>
    <w:tmpl w:val="1DE0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3F4BB2"/>
    <w:multiLevelType w:val="multilevel"/>
    <w:tmpl w:val="65F6F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152127"/>
    <w:multiLevelType w:val="multilevel"/>
    <w:tmpl w:val="2CC0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5B04D0"/>
    <w:multiLevelType w:val="multilevel"/>
    <w:tmpl w:val="A928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AD147D"/>
    <w:multiLevelType w:val="multilevel"/>
    <w:tmpl w:val="5B24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A0153D"/>
    <w:multiLevelType w:val="multilevel"/>
    <w:tmpl w:val="E286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480401">
    <w:abstractNumId w:val="0"/>
  </w:num>
  <w:num w:numId="2" w16cid:durableId="1504736294">
    <w:abstractNumId w:val="3"/>
  </w:num>
  <w:num w:numId="3" w16cid:durableId="1452745806">
    <w:abstractNumId w:val="7"/>
  </w:num>
  <w:num w:numId="4" w16cid:durableId="1106385994">
    <w:abstractNumId w:val="6"/>
  </w:num>
  <w:num w:numId="5" w16cid:durableId="2074545015">
    <w:abstractNumId w:val="5"/>
  </w:num>
  <w:num w:numId="6" w16cid:durableId="267012574">
    <w:abstractNumId w:val="1"/>
  </w:num>
  <w:num w:numId="7" w16cid:durableId="743455752">
    <w:abstractNumId w:val="8"/>
  </w:num>
  <w:num w:numId="8" w16cid:durableId="625039146">
    <w:abstractNumId w:val="4"/>
  </w:num>
  <w:num w:numId="9" w16cid:durableId="1944609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E7D"/>
    <w:rsid w:val="000172D0"/>
    <w:rsid w:val="0002643A"/>
    <w:rsid w:val="00030214"/>
    <w:rsid w:val="000704FF"/>
    <w:rsid w:val="000731A9"/>
    <w:rsid w:val="00075207"/>
    <w:rsid w:val="00087388"/>
    <w:rsid w:val="00091760"/>
    <w:rsid w:val="000919A9"/>
    <w:rsid w:val="000D5116"/>
    <w:rsid w:val="000D6473"/>
    <w:rsid w:val="00104CD0"/>
    <w:rsid w:val="00111975"/>
    <w:rsid w:val="00112BFF"/>
    <w:rsid w:val="0011429C"/>
    <w:rsid w:val="00122399"/>
    <w:rsid w:val="00127A4D"/>
    <w:rsid w:val="00136B3C"/>
    <w:rsid w:val="001419E3"/>
    <w:rsid w:val="001473CE"/>
    <w:rsid w:val="0018102C"/>
    <w:rsid w:val="0018119F"/>
    <w:rsid w:val="001A1F4F"/>
    <w:rsid w:val="001B28C7"/>
    <w:rsid w:val="001F75D9"/>
    <w:rsid w:val="0020262E"/>
    <w:rsid w:val="00213CD0"/>
    <w:rsid w:val="00240EAF"/>
    <w:rsid w:val="00276926"/>
    <w:rsid w:val="00280426"/>
    <w:rsid w:val="00291957"/>
    <w:rsid w:val="002B5926"/>
    <w:rsid w:val="002C00BC"/>
    <w:rsid w:val="002F29DB"/>
    <w:rsid w:val="002F2E1F"/>
    <w:rsid w:val="00343B5E"/>
    <w:rsid w:val="00361C5D"/>
    <w:rsid w:val="003632B6"/>
    <w:rsid w:val="003C6790"/>
    <w:rsid w:val="003C6D09"/>
    <w:rsid w:val="003E43E9"/>
    <w:rsid w:val="003F7E78"/>
    <w:rsid w:val="00403CE0"/>
    <w:rsid w:val="004378BE"/>
    <w:rsid w:val="00454D8F"/>
    <w:rsid w:val="00456210"/>
    <w:rsid w:val="00460FAB"/>
    <w:rsid w:val="00463F93"/>
    <w:rsid w:val="004B1C91"/>
    <w:rsid w:val="004B61C4"/>
    <w:rsid w:val="004B6CC9"/>
    <w:rsid w:val="004C2000"/>
    <w:rsid w:val="004E7236"/>
    <w:rsid w:val="004E7A08"/>
    <w:rsid w:val="00561730"/>
    <w:rsid w:val="00567FE2"/>
    <w:rsid w:val="00582B6F"/>
    <w:rsid w:val="005E15BB"/>
    <w:rsid w:val="005E7ABC"/>
    <w:rsid w:val="006047B5"/>
    <w:rsid w:val="00606464"/>
    <w:rsid w:val="006176EA"/>
    <w:rsid w:val="00634ABF"/>
    <w:rsid w:val="0064193A"/>
    <w:rsid w:val="00665114"/>
    <w:rsid w:val="006678C1"/>
    <w:rsid w:val="006766CC"/>
    <w:rsid w:val="0068043D"/>
    <w:rsid w:val="006B52DA"/>
    <w:rsid w:val="006C1C93"/>
    <w:rsid w:val="006E02CD"/>
    <w:rsid w:val="006E425D"/>
    <w:rsid w:val="006E4AFF"/>
    <w:rsid w:val="006E6821"/>
    <w:rsid w:val="006E6E34"/>
    <w:rsid w:val="00701D31"/>
    <w:rsid w:val="007030DB"/>
    <w:rsid w:val="007077E1"/>
    <w:rsid w:val="00771687"/>
    <w:rsid w:val="007718B7"/>
    <w:rsid w:val="0077460B"/>
    <w:rsid w:val="007867E7"/>
    <w:rsid w:val="00792DEA"/>
    <w:rsid w:val="007A30A8"/>
    <w:rsid w:val="007B63D0"/>
    <w:rsid w:val="007C7338"/>
    <w:rsid w:val="00803CE5"/>
    <w:rsid w:val="008138FA"/>
    <w:rsid w:val="00813F1B"/>
    <w:rsid w:val="00851657"/>
    <w:rsid w:val="00854658"/>
    <w:rsid w:val="00884739"/>
    <w:rsid w:val="0089320C"/>
    <w:rsid w:val="008A2280"/>
    <w:rsid w:val="008A36A9"/>
    <w:rsid w:val="008D1D62"/>
    <w:rsid w:val="00917E35"/>
    <w:rsid w:val="009205E5"/>
    <w:rsid w:val="00933563"/>
    <w:rsid w:val="00935E41"/>
    <w:rsid w:val="00942DC2"/>
    <w:rsid w:val="00952493"/>
    <w:rsid w:val="00970DC8"/>
    <w:rsid w:val="00970E51"/>
    <w:rsid w:val="0099317E"/>
    <w:rsid w:val="0099706D"/>
    <w:rsid w:val="009B0EAC"/>
    <w:rsid w:val="009B3666"/>
    <w:rsid w:val="00A162D8"/>
    <w:rsid w:val="00A3548A"/>
    <w:rsid w:val="00A54175"/>
    <w:rsid w:val="00AA554A"/>
    <w:rsid w:val="00AB3C40"/>
    <w:rsid w:val="00AC1D9D"/>
    <w:rsid w:val="00AC26BF"/>
    <w:rsid w:val="00B4125D"/>
    <w:rsid w:val="00B42EBC"/>
    <w:rsid w:val="00B64548"/>
    <w:rsid w:val="00B67DAA"/>
    <w:rsid w:val="00B859E5"/>
    <w:rsid w:val="00BC3E85"/>
    <w:rsid w:val="00BC4456"/>
    <w:rsid w:val="00C04105"/>
    <w:rsid w:val="00C21722"/>
    <w:rsid w:val="00C9083B"/>
    <w:rsid w:val="00CC54CC"/>
    <w:rsid w:val="00CD7E74"/>
    <w:rsid w:val="00D0720C"/>
    <w:rsid w:val="00D11D6F"/>
    <w:rsid w:val="00D42C61"/>
    <w:rsid w:val="00D607F8"/>
    <w:rsid w:val="00D65E7D"/>
    <w:rsid w:val="00D7331E"/>
    <w:rsid w:val="00DA0AB1"/>
    <w:rsid w:val="00DA5C50"/>
    <w:rsid w:val="00DA698B"/>
    <w:rsid w:val="00DB29E3"/>
    <w:rsid w:val="00DC0C71"/>
    <w:rsid w:val="00DC547A"/>
    <w:rsid w:val="00DE17EF"/>
    <w:rsid w:val="00DE5BA1"/>
    <w:rsid w:val="00DF4A18"/>
    <w:rsid w:val="00E02340"/>
    <w:rsid w:val="00E118BC"/>
    <w:rsid w:val="00E30674"/>
    <w:rsid w:val="00E32498"/>
    <w:rsid w:val="00E43554"/>
    <w:rsid w:val="00E43FCB"/>
    <w:rsid w:val="00E608D4"/>
    <w:rsid w:val="00E818A3"/>
    <w:rsid w:val="00E82908"/>
    <w:rsid w:val="00EA3B9E"/>
    <w:rsid w:val="00EA6CD7"/>
    <w:rsid w:val="00EC2BD5"/>
    <w:rsid w:val="00EF13BF"/>
    <w:rsid w:val="00EF5A09"/>
    <w:rsid w:val="00F04519"/>
    <w:rsid w:val="00F400FE"/>
    <w:rsid w:val="00F4656F"/>
    <w:rsid w:val="00F52726"/>
    <w:rsid w:val="00F70625"/>
    <w:rsid w:val="00FA1EC5"/>
    <w:rsid w:val="00FA4C13"/>
    <w:rsid w:val="00FB2A3D"/>
    <w:rsid w:val="00FD7B2D"/>
    <w:rsid w:val="00FE4544"/>
    <w:rsid w:val="00FE6210"/>
    <w:rsid w:val="68E19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21302"/>
  <w15:chartTrackingRefBased/>
  <w15:docId w15:val="{6601E691-BE83-4BA4-B078-21B72ABEC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E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E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E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E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E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E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E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E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E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E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E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E7D"/>
    <w:rPr>
      <w:rFonts w:eastAsiaTheme="majorEastAsia" w:cstheme="majorBidi"/>
      <w:color w:val="272727" w:themeColor="text1" w:themeTint="D8"/>
    </w:rPr>
  </w:style>
  <w:style w:type="paragraph" w:styleId="Title">
    <w:name w:val="Title"/>
    <w:basedOn w:val="Normal"/>
    <w:next w:val="Normal"/>
    <w:link w:val="TitleChar"/>
    <w:uiPriority w:val="10"/>
    <w:qFormat/>
    <w:rsid w:val="00D65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E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E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E7D"/>
    <w:pPr>
      <w:spacing w:before="160"/>
      <w:jc w:val="center"/>
    </w:pPr>
    <w:rPr>
      <w:i/>
      <w:iCs/>
      <w:color w:val="404040" w:themeColor="text1" w:themeTint="BF"/>
    </w:rPr>
  </w:style>
  <w:style w:type="character" w:customStyle="1" w:styleId="QuoteChar">
    <w:name w:val="Quote Char"/>
    <w:basedOn w:val="DefaultParagraphFont"/>
    <w:link w:val="Quote"/>
    <w:uiPriority w:val="29"/>
    <w:rsid w:val="00D65E7D"/>
    <w:rPr>
      <w:i/>
      <w:iCs/>
      <w:color w:val="404040" w:themeColor="text1" w:themeTint="BF"/>
    </w:rPr>
  </w:style>
  <w:style w:type="paragraph" w:styleId="ListParagraph">
    <w:name w:val="List Paragraph"/>
    <w:basedOn w:val="Normal"/>
    <w:uiPriority w:val="34"/>
    <w:qFormat/>
    <w:rsid w:val="00D65E7D"/>
    <w:pPr>
      <w:ind w:left="720"/>
      <w:contextualSpacing/>
    </w:pPr>
  </w:style>
  <w:style w:type="character" w:styleId="IntenseEmphasis">
    <w:name w:val="Intense Emphasis"/>
    <w:basedOn w:val="DefaultParagraphFont"/>
    <w:uiPriority w:val="21"/>
    <w:qFormat/>
    <w:rsid w:val="00D65E7D"/>
    <w:rPr>
      <w:i/>
      <w:iCs/>
      <w:color w:val="0F4761" w:themeColor="accent1" w:themeShade="BF"/>
    </w:rPr>
  </w:style>
  <w:style w:type="paragraph" w:styleId="IntenseQuote">
    <w:name w:val="Intense Quote"/>
    <w:basedOn w:val="Normal"/>
    <w:next w:val="Normal"/>
    <w:link w:val="IntenseQuoteChar"/>
    <w:uiPriority w:val="30"/>
    <w:qFormat/>
    <w:rsid w:val="00D65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E7D"/>
    <w:rPr>
      <w:i/>
      <w:iCs/>
      <w:color w:val="0F4761" w:themeColor="accent1" w:themeShade="BF"/>
    </w:rPr>
  </w:style>
  <w:style w:type="character" w:styleId="IntenseReference">
    <w:name w:val="Intense Reference"/>
    <w:basedOn w:val="DefaultParagraphFont"/>
    <w:uiPriority w:val="32"/>
    <w:qFormat/>
    <w:rsid w:val="00D65E7D"/>
    <w:rPr>
      <w:b/>
      <w:bCs/>
      <w:smallCaps/>
      <w:color w:val="0F4761" w:themeColor="accent1" w:themeShade="BF"/>
      <w:spacing w:val="5"/>
    </w:rPr>
  </w:style>
  <w:style w:type="character" w:styleId="Hyperlink">
    <w:name w:val="Hyperlink"/>
    <w:basedOn w:val="DefaultParagraphFont"/>
    <w:uiPriority w:val="99"/>
    <w:unhideWhenUsed/>
    <w:rsid w:val="00D65E7D"/>
    <w:rPr>
      <w:color w:val="467886" w:themeColor="hyperlink"/>
      <w:u w:val="single"/>
    </w:rPr>
  </w:style>
  <w:style w:type="character" w:styleId="UnresolvedMention">
    <w:name w:val="Unresolved Mention"/>
    <w:basedOn w:val="DefaultParagraphFont"/>
    <w:uiPriority w:val="99"/>
    <w:semiHidden/>
    <w:unhideWhenUsed/>
    <w:rsid w:val="00D65E7D"/>
    <w:rPr>
      <w:color w:val="605E5C"/>
      <w:shd w:val="clear" w:color="auto" w:fill="E1DFDD"/>
    </w:rPr>
  </w:style>
  <w:style w:type="table" w:styleId="TableGrid">
    <w:name w:val="Table Grid"/>
    <w:basedOn w:val="TableNormal"/>
    <w:uiPriority w:val="39"/>
    <w:rsid w:val="00970E51"/>
    <w:pPr>
      <w:spacing w:after="0" w:line="240" w:lineRule="auto"/>
    </w:pPr>
    <w:tblPr/>
  </w:style>
  <w:style w:type="paragraph" w:styleId="Header">
    <w:name w:val="header"/>
    <w:basedOn w:val="Normal"/>
    <w:link w:val="HeaderChar"/>
    <w:uiPriority w:val="99"/>
    <w:unhideWhenUsed/>
    <w:rsid w:val="002C0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0BC"/>
  </w:style>
  <w:style w:type="paragraph" w:styleId="Footer">
    <w:name w:val="footer"/>
    <w:basedOn w:val="Normal"/>
    <w:link w:val="FooterChar"/>
    <w:uiPriority w:val="99"/>
    <w:unhideWhenUsed/>
    <w:rsid w:val="002C0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0BC"/>
  </w:style>
  <w:style w:type="paragraph" w:styleId="NormalWeb">
    <w:name w:val="Normal (Web)"/>
    <w:basedOn w:val="Normal"/>
    <w:uiPriority w:val="99"/>
    <w:semiHidden/>
    <w:unhideWhenUsed/>
    <w:rsid w:val="000D5116"/>
    <w:rPr>
      <w:rFonts w:ascii="Times New Roman" w:hAnsi="Times New Roman" w:cs="Times New Roman"/>
    </w:rPr>
  </w:style>
  <w:style w:type="paragraph" w:styleId="Revision">
    <w:name w:val="Revision"/>
    <w:hidden/>
    <w:uiPriority w:val="99"/>
    <w:semiHidden/>
    <w:rsid w:val="00BC3E85"/>
    <w:pPr>
      <w:spacing w:after="0" w:line="240" w:lineRule="auto"/>
    </w:pPr>
  </w:style>
  <w:style w:type="character" w:styleId="CommentReference">
    <w:name w:val="annotation reference"/>
    <w:basedOn w:val="DefaultParagraphFont"/>
    <w:uiPriority w:val="99"/>
    <w:semiHidden/>
    <w:unhideWhenUsed/>
    <w:rsid w:val="00E43FCB"/>
    <w:rPr>
      <w:sz w:val="16"/>
      <w:szCs w:val="16"/>
    </w:rPr>
  </w:style>
  <w:style w:type="paragraph" w:styleId="CommentText">
    <w:name w:val="annotation text"/>
    <w:basedOn w:val="Normal"/>
    <w:link w:val="CommentTextChar"/>
    <w:uiPriority w:val="99"/>
    <w:unhideWhenUsed/>
    <w:rsid w:val="00E43FCB"/>
    <w:pPr>
      <w:spacing w:line="240" w:lineRule="auto"/>
    </w:pPr>
    <w:rPr>
      <w:sz w:val="20"/>
      <w:szCs w:val="20"/>
    </w:rPr>
  </w:style>
  <w:style w:type="character" w:customStyle="1" w:styleId="CommentTextChar">
    <w:name w:val="Comment Text Char"/>
    <w:basedOn w:val="DefaultParagraphFont"/>
    <w:link w:val="CommentText"/>
    <w:uiPriority w:val="99"/>
    <w:rsid w:val="00E43FCB"/>
    <w:rPr>
      <w:sz w:val="20"/>
      <w:szCs w:val="20"/>
    </w:rPr>
  </w:style>
  <w:style w:type="paragraph" w:styleId="CommentSubject">
    <w:name w:val="annotation subject"/>
    <w:basedOn w:val="CommentText"/>
    <w:next w:val="CommentText"/>
    <w:link w:val="CommentSubjectChar"/>
    <w:uiPriority w:val="99"/>
    <w:semiHidden/>
    <w:unhideWhenUsed/>
    <w:rsid w:val="00E43FCB"/>
    <w:rPr>
      <w:b/>
      <w:bCs/>
    </w:rPr>
  </w:style>
  <w:style w:type="character" w:customStyle="1" w:styleId="CommentSubjectChar">
    <w:name w:val="Comment Subject Char"/>
    <w:basedOn w:val="CommentTextChar"/>
    <w:link w:val="CommentSubject"/>
    <w:uiPriority w:val="99"/>
    <w:semiHidden/>
    <w:rsid w:val="00E43FCB"/>
    <w:rPr>
      <w:b/>
      <w:bCs/>
      <w:sz w:val="20"/>
      <w:szCs w:val="20"/>
    </w:rPr>
  </w:style>
  <w:style w:type="character" w:styleId="FollowedHyperlink">
    <w:name w:val="FollowedHyperlink"/>
    <w:basedOn w:val="DefaultParagraphFont"/>
    <w:uiPriority w:val="99"/>
    <w:semiHidden/>
    <w:unhideWhenUsed/>
    <w:rsid w:val="00935E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eorgeinstitute.sharepoint.com/:p:/s/All4Health/EVmLLRro7clAkLEefz3ojloBNClYydhTtWlDJ-sCv0tzcA?e=ycgP0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pheretogether.org/news/for-the-people-with-the-people-joining-hands-using-evidence-to-advance-social-participation-for-universal-health-coverage-uh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search?q=All+for+Health%2C+Health+for+All&amp;oq=WHA+77+theme&amp;gs_lcrp=EgZjaHJvbWUyBggAEEUYOTIICAEQABgWGB4yBwgCEAAY7wUyBwgDEAAY7wUyCggEEAAYgAQYogQyBwgFEAAY7wUyCggGEAAYgAQYogTSAQk0ODUyajBqMTWoAgiwAgHxBXLL9aH2Ibwl&amp;sourceid=chrome&amp;ie=UTF-8&amp;mstk=AUtExfCgfE7uppHgEFHtkPg710NERUjUgi0tJseooTx3jooGogpbbOq_8j2hzJ0rwwdc48rd4SGwfzfiQ_z2okpo_E6bLKKEvfjC0ERig0B43QfwSBGJMzstLdLREGIi195aN6o9Z269M-aKhPOn8pG4iE8YOFjwAMoqu5gHy7dKVZddXg0&amp;csui=3&amp;ved=2ahUKEwir_4mByquRAxX2wAIHHe3hMjUQgK4QegQIARA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ennet.o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0BF688CB64E439240F2599E4F60CF" ma:contentTypeVersion="17" ma:contentTypeDescription="Create a new document." ma:contentTypeScope="" ma:versionID="81188594c5394fb5075064f11c902290">
  <xsd:schema xmlns:xsd="http://www.w3.org/2001/XMLSchema" xmlns:xs="http://www.w3.org/2001/XMLSchema" xmlns:p="http://schemas.microsoft.com/office/2006/metadata/properties" xmlns:ns2="24441bd8-777a-4ce1-9084-8c7b5cb0227e" xmlns:ns3="91a8c1f5-5070-46cf-922e-136cb6caff83" targetNamespace="http://schemas.microsoft.com/office/2006/metadata/properties" ma:root="true" ma:fieldsID="d76eb0ca34dc0cdef238353ce482e82d" ns2:_="" ns3:_="">
    <xsd:import namespace="24441bd8-777a-4ce1-9084-8c7b5cb0227e"/>
    <xsd:import namespace="91a8c1f5-5070-46cf-922e-136cb6caff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41bd8-777a-4ce1-9084-8c7b5cb02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30dfe9-aa17-4d1a-9aef-23ab4bbedbf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a8c1f5-5070-46cf-922e-136cb6caff8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b03bc99-7d58-448d-a580-d069247199f9}" ma:internalName="TaxCatchAll" ma:showField="CatchAllData" ma:web="91a8c1f5-5070-46cf-922e-136cb6caff8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441bd8-777a-4ce1-9084-8c7b5cb0227e">
      <Terms xmlns="http://schemas.microsoft.com/office/infopath/2007/PartnerControls"/>
    </lcf76f155ced4ddcb4097134ff3c332f>
    <TaxCatchAll xmlns="91a8c1f5-5070-46cf-922e-136cb6caff83" xsi:nil="true"/>
  </documentManagement>
</p:properties>
</file>

<file path=customXml/itemProps1.xml><?xml version="1.0" encoding="utf-8"?>
<ds:datastoreItem xmlns:ds="http://schemas.openxmlformats.org/officeDocument/2006/customXml" ds:itemID="{791E1A18-DE09-43A2-A294-42ADF3B83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41bd8-777a-4ce1-9084-8c7b5cb0227e"/>
    <ds:schemaRef ds:uri="91a8c1f5-5070-46cf-922e-136cb6caf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DC3A8-22FD-421A-AF6D-A77EEE2DDE59}">
  <ds:schemaRefs>
    <ds:schemaRef ds:uri="http://schemas.microsoft.com/sharepoint/v3/contenttype/forms"/>
  </ds:schemaRefs>
</ds:datastoreItem>
</file>

<file path=customXml/itemProps3.xml><?xml version="1.0" encoding="utf-8"?>
<ds:datastoreItem xmlns:ds="http://schemas.openxmlformats.org/officeDocument/2006/customXml" ds:itemID="{58F553B9-1AFB-46B9-801E-FD7960F7C389}">
  <ds:schemaRefs>
    <ds:schemaRef ds:uri="http://schemas.microsoft.com/office/2006/metadata/properties"/>
    <ds:schemaRef ds:uri="http://schemas.microsoft.com/office/infopath/2007/PartnerControls"/>
    <ds:schemaRef ds:uri="24441bd8-777a-4ce1-9084-8c7b5cb0227e"/>
    <ds:schemaRef ds:uri="91a8c1f5-5070-46cf-922e-136cb6caff83"/>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Links>
    <vt:vector size="24" baseType="variant">
      <vt:variant>
        <vt:i4>5242891</vt:i4>
      </vt:variant>
      <vt:variant>
        <vt:i4>6</vt:i4>
      </vt:variant>
      <vt:variant>
        <vt:i4>0</vt:i4>
      </vt:variant>
      <vt:variant>
        <vt:i4>5</vt:i4>
      </vt:variant>
      <vt:variant>
        <vt:lpwstr>http://www.hennet.or.ke/</vt:lpwstr>
      </vt:variant>
      <vt:variant>
        <vt:lpwstr/>
      </vt:variant>
      <vt:variant>
        <vt:i4>2228332</vt:i4>
      </vt:variant>
      <vt:variant>
        <vt:i4>3</vt:i4>
      </vt:variant>
      <vt:variant>
        <vt:i4>0</vt:i4>
      </vt:variant>
      <vt:variant>
        <vt:i4>5</vt:i4>
      </vt:variant>
      <vt:variant>
        <vt:lpwstr>https://georgeinstitute.sharepoint.com/:p:/s/All4Health/EVmLLRro7clAkLEefz3ojloBNClYydhTtWlDJ-sCv0tzcA?e=ycgP0G</vt:lpwstr>
      </vt:variant>
      <vt:variant>
        <vt:lpwstr/>
      </vt:variant>
      <vt:variant>
        <vt:i4>3014718</vt:i4>
      </vt:variant>
      <vt:variant>
        <vt:i4>0</vt:i4>
      </vt:variant>
      <vt:variant>
        <vt:i4>0</vt:i4>
      </vt:variant>
      <vt:variant>
        <vt:i4>5</vt:i4>
      </vt:variant>
      <vt:variant>
        <vt:lpwstr>https://www.spheretogether.org/news/for-the-people-with-the-people-joining-hands-using-evidence-to-advance-social-participation-for-universal-health-coverage-uhc/</vt:lpwstr>
      </vt:variant>
      <vt:variant>
        <vt:lpwstr/>
      </vt:variant>
      <vt:variant>
        <vt:i4>3670140</vt:i4>
      </vt:variant>
      <vt:variant>
        <vt:i4>0</vt:i4>
      </vt:variant>
      <vt:variant>
        <vt:i4>0</vt:i4>
      </vt:variant>
      <vt:variant>
        <vt:i4>5</vt:i4>
      </vt:variant>
      <vt:variant>
        <vt:lpwstr>https://csemonline.net/civil-society-networking-space-on-uhc-wha77/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Lubaale</dc:creator>
  <cp:keywords/>
  <dc:description/>
  <cp:lastModifiedBy>Faith Ndungu</cp:lastModifiedBy>
  <cp:revision>3</cp:revision>
  <dcterms:created xsi:type="dcterms:W3CDTF">2025-12-07T13:25:00Z</dcterms:created>
  <dcterms:modified xsi:type="dcterms:W3CDTF">2025-12-07T13:45:00Z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56a09cda-ccdd-4a26-ae48-4fb50f509e07</vt:lpwstr>
  </property>
  <property fmtid="{D5CDD505-2E9C-101B-9397-08002B2CF9AE}" pid="3" name="ContentTypeId">
    <vt:lpwstr>0x0101009B90BF688CB64E439240F2599E4F60CF</vt:lpwstr>
  </property>
  <property fmtid="{D5CDD505-2E9C-101B-9397-08002B2CF9AE}" pid="4" name="MediaServiceImageTags">
    <vt:lpwstr/>
  </property>
</Properties>
</file>